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rPr>
          <w:rFonts w:ascii="黑体" w:eastAsia="黑体"/>
          <w:sz w:val="52"/>
          <w:szCs w:val="52"/>
        </w:rPr>
      </w:pPr>
    </w:p>
    <w:p>
      <w:pPr>
        <w:widowControl/>
        <w:autoSpaceDE w:val="0"/>
        <w:autoSpaceDN w:val="0"/>
        <w:jc w:val="center"/>
        <w:rPr>
          <w:rFonts w:ascii="黑体" w:eastAsia="黑体"/>
          <w:sz w:val="52"/>
          <w:szCs w:val="52"/>
        </w:rPr>
      </w:pPr>
    </w:p>
    <w:p>
      <w:pPr>
        <w:widowControl/>
        <w:autoSpaceDE w:val="0"/>
        <w:autoSpaceDN w:val="0"/>
        <w:jc w:val="center"/>
        <w:rPr>
          <w:rFonts w:ascii="宋体"/>
          <w:szCs w:val="21"/>
        </w:rPr>
      </w:pPr>
      <w:r>
        <w:rPr>
          <w:rFonts w:hint="eastAsia" w:ascii="黑体" w:eastAsia="黑体"/>
          <w:sz w:val="36"/>
          <w:szCs w:val="36"/>
        </w:rPr>
        <w:t>基于纳米银线透明电极的电容式触摸屏技术要求及检测方法</w:t>
      </w:r>
    </w:p>
    <w:p>
      <w:pPr>
        <w:jc w:val="center"/>
        <w:rPr>
          <w:rFonts w:eastAsia="黑体"/>
          <w:b/>
          <w:sz w:val="24"/>
        </w:rPr>
      </w:pPr>
      <w:r>
        <w:rPr>
          <w:rFonts w:eastAsia="黑体"/>
          <w:kern w:val="0"/>
          <w:sz w:val="28"/>
          <w:szCs w:val="28"/>
        </w:rPr>
        <w:t>Technical requirements and test method of capacitive touch screen based on silver nanowire transparent electrode</w:t>
      </w:r>
    </w:p>
    <w:p>
      <w:pPr>
        <w:jc w:val="center"/>
        <w:rPr>
          <w:rFonts w:eastAsia="黑体"/>
          <w:b/>
          <w:sz w:val="24"/>
        </w:rPr>
      </w:pPr>
    </w:p>
    <w:p>
      <w:pPr>
        <w:jc w:val="center"/>
        <w:rPr>
          <w:rFonts w:eastAsia="黑体"/>
          <w:b/>
          <w:sz w:val="24"/>
        </w:rPr>
      </w:pPr>
    </w:p>
    <w:p>
      <w:pPr>
        <w:jc w:val="center"/>
        <w:rPr>
          <w:rFonts w:eastAsia="黑体"/>
          <w:b/>
          <w:sz w:val="24"/>
        </w:rPr>
      </w:pPr>
    </w:p>
    <w:p>
      <w:pPr>
        <w:spacing w:line="300" w:lineRule="auto"/>
        <w:jc w:val="center"/>
        <w:rPr>
          <w:rFonts w:ascii="黑体" w:eastAsia="黑体"/>
          <w:sz w:val="72"/>
          <w:szCs w:val="72"/>
        </w:rPr>
      </w:pPr>
      <w:r>
        <w:rPr>
          <w:rFonts w:hint="eastAsia" w:ascii="黑体" w:eastAsia="黑体"/>
          <w:sz w:val="72"/>
          <w:szCs w:val="72"/>
        </w:rPr>
        <w:t>编  制  说  明</w:t>
      </w:r>
      <w:bookmarkStart w:id="1" w:name="_GoBack"/>
      <w:bookmarkEnd w:id="1"/>
    </w:p>
    <w:p>
      <w:pPr>
        <w:jc w:val="center"/>
        <w:rPr>
          <w:rFonts w:eastAsia="黑体"/>
          <w:b/>
          <w:sz w:val="24"/>
        </w:rPr>
      </w:pPr>
    </w:p>
    <w:p>
      <w:pPr>
        <w:jc w:val="center"/>
        <w:rPr>
          <w:rFonts w:eastAsia="黑体"/>
          <w:b/>
          <w:sz w:val="24"/>
        </w:rPr>
      </w:pPr>
    </w:p>
    <w:p>
      <w:pPr>
        <w:spacing w:line="300" w:lineRule="auto"/>
        <w:ind w:firstLine="480" w:firstLineChars="200"/>
        <w:rPr>
          <w:rFonts w:ascii="黑体" w:eastAsia="黑体"/>
          <w:sz w:val="24"/>
        </w:rPr>
      </w:pPr>
    </w:p>
    <w:p>
      <w:pPr>
        <w:spacing w:line="300" w:lineRule="auto"/>
        <w:ind w:firstLine="480" w:firstLineChars="200"/>
        <w:rPr>
          <w:rFonts w:ascii="黑体" w:eastAsia="黑体"/>
          <w:sz w:val="24"/>
        </w:rPr>
      </w:pPr>
    </w:p>
    <w:p>
      <w:pPr>
        <w:spacing w:line="300" w:lineRule="auto"/>
        <w:ind w:firstLine="480" w:firstLineChars="200"/>
        <w:rPr>
          <w:rFonts w:ascii="黑体" w:eastAsia="黑体"/>
          <w:sz w:val="24"/>
        </w:rPr>
      </w:pPr>
    </w:p>
    <w:p>
      <w:pPr>
        <w:spacing w:line="300" w:lineRule="auto"/>
        <w:ind w:firstLine="480" w:firstLineChars="200"/>
        <w:rPr>
          <w:rFonts w:ascii="黑体" w:eastAsia="黑体"/>
          <w:sz w:val="24"/>
        </w:rPr>
      </w:pPr>
    </w:p>
    <w:p>
      <w:pPr>
        <w:spacing w:line="300" w:lineRule="auto"/>
        <w:ind w:firstLine="480" w:firstLineChars="200"/>
        <w:rPr>
          <w:rFonts w:ascii="黑体" w:eastAsia="黑体"/>
          <w:sz w:val="24"/>
        </w:rPr>
      </w:pPr>
    </w:p>
    <w:p>
      <w:pPr>
        <w:spacing w:before="156" w:beforeLines="50" w:after="156" w:afterLines="50"/>
        <w:jc w:val="center"/>
        <w:rPr>
          <w:b/>
          <w:sz w:val="32"/>
          <w:szCs w:val="32"/>
        </w:rPr>
      </w:pPr>
    </w:p>
    <w:p>
      <w:pPr>
        <w:spacing w:before="156" w:beforeLines="50" w:after="156" w:afterLines="50"/>
        <w:jc w:val="center"/>
        <w:rPr>
          <w:b/>
          <w:sz w:val="32"/>
          <w:szCs w:val="32"/>
        </w:rPr>
      </w:pPr>
    </w:p>
    <w:p>
      <w:pPr>
        <w:spacing w:before="156" w:beforeLines="50" w:after="156" w:afterLines="50"/>
        <w:jc w:val="center"/>
        <w:rPr>
          <w:b/>
          <w:bCs/>
          <w:sz w:val="32"/>
          <w:szCs w:val="32"/>
        </w:rPr>
      </w:pPr>
      <w:r>
        <w:rPr>
          <w:rFonts w:hint="eastAsia"/>
          <w:b/>
          <w:sz w:val="32"/>
          <w:szCs w:val="32"/>
        </w:rPr>
        <w:t>标准起草工作组</w:t>
      </w:r>
    </w:p>
    <w:p>
      <w:pPr>
        <w:spacing w:before="156" w:beforeLines="50" w:after="156" w:afterLines="50"/>
        <w:jc w:val="center"/>
        <w:rPr>
          <w:b/>
          <w:bCs/>
          <w:sz w:val="32"/>
        </w:rPr>
      </w:pPr>
      <w:r>
        <w:rPr>
          <w:rFonts w:hint="eastAsia"/>
          <w:b/>
          <w:bCs/>
          <w:sz w:val="32"/>
        </w:rPr>
        <w:t>202</w:t>
      </w:r>
      <w:r>
        <w:rPr>
          <w:b/>
          <w:bCs/>
          <w:sz w:val="32"/>
        </w:rPr>
        <w:t>4</w:t>
      </w:r>
      <w:r>
        <w:rPr>
          <w:rFonts w:hint="eastAsia"/>
          <w:b/>
          <w:bCs/>
          <w:sz w:val="32"/>
        </w:rPr>
        <w:t>年</w:t>
      </w:r>
      <w:r>
        <w:rPr>
          <w:b/>
          <w:bCs/>
          <w:sz w:val="32"/>
        </w:rPr>
        <w:t>1</w:t>
      </w:r>
      <w:r>
        <w:rPr>
          <w:rFonts w:hint="eastAsia"/>
          <w:b/>
          <w:bCs/>
          <w:sz w:val="32"/>
        </w:rPr>
        <w:t>月</w:t>
      </w:r>
      <w:r>
        <w:rPr>
          <w:b/>
          <w:bCs/>
          <w:sz w:val="32"/>
        </w:rPr>
        <w:t>2</w:t>
      </w:r>
      <w:r>
        <w:rPr>
          <w:rFonts w:hint="eastAsia"/>
          <w:b/>
          <w:bCs/>
          <w:sz w:val="32"/>
        </w:rPr>
        <w:t>日</w:t>
      </w:r>
    </w:p>
    <w:p>
      <w:pPr>
        <w:pStyle w:val="2"/>
        <w:spacing w:before="0" w:after="0" w:line="360" w:lineRule="auto"/>
        <w:rPr>
          <w:rFonts w:ascii="黑体" w:hAnsi="黑体" w:eastAsia="黑体"/>
          <w:sz w:val="28"/>
          <w:szCs w:val="28"/>
        </w:rPr>
      </w:pPr>
      <w:r>
        <w:rPr>
          <w:rFonts w:hint="eastAsia" w:ascii="黑体" w:hAnsi="黑体" w:eastAsia="黑体"/>
          <w:sz w:val="28"/>
          <w:szCs w:val="28"/>
        </w:rPr>
        <w:t>一、工作简况</w:t>
      </w:r>
    </w:p>
    <w:p>
      <w:pPr>
        <w:pStyle w:val="5"/>
        <w:spacing w:before="0" w:after="0" w:line="360" w:lineRule="auto"/>
        <w:jc w:val="left"/>
        <w:rPr>
          <w:rFonts w:ascii="仿宋" w:hAnsi="仿宋" w:eastAsia="仿宋"/>
          <w:sz w:val="24"/>
          <w:szCs w:val="24"/>
        </w:rPr>
      </w:pPr>
      <w:r>
        <w:rPr>
          <w:rFonts w:ascii="仿宋" w:hAnsi="仿宋" w:eastAsia="仿宋"/>
          <w:sz w:val="24"/>
          <w:szCs w:val="24"/>
        </w:rPr>
        <w:t xml:space="preserve">1.1 </w:t>
      </w:r>
      <w:r>
        <w:rPr>
          <w:rFonts w:hint="eastAsia" w:ascii="仿宋" w:hAnsi="仿宋" w:eastAsia="仿宋"/>
          <w:sz w:val="24"/>
          <w:szCs w:val="24"/>
        </w:rPr>
        <w:t>任务来源</w:t>
      </w:r>
    </w:p>
    <w:p>
      <w:pPr>
        <w:autoSpaceDE w:val="0"/>
        <w:autoSpaceDN w:val="0"/>
        <w:adjustRightInd w:val="0"/>
        <w:spacing w:line="360" w:lineRule="auto"/>
        <w:ind w:firstLine="480" w:firstLineChars="200"/>
        <w:jc w:val="left"/>
        <w:rPr>
          <w:rFonts w:ascii="仿宋" w:hAnsi="仿宋" w:eastAsia="仿宋"/>
          <w:sz w:val="24"/>
        </w:rPr>
      </w:pPr>
      <w:r>
        <w:rPr>
          <w:rFonts w:hint="eastAsia" w:ascii="仿宋" w:hAnsi="仿宋" w:eastAsia="仿宋"/>
          <w:sz w:val="24"/>
        </w:rPr>
        <w:t>项目名称：《基于纳米银线透明电极的电容式触摸屏技术要求及检测方法》；</w:t>
      </w:r>
    </w:p>
    <w:p>
      <w:pPr>
        <w:autoSpaceDE w:val="0"/>
        <w:autoSpaceDN w:val="0"/>
        <w:adjustRightInd w:val="0"/>
        <w:spacing w:line="360" w:lineRule="auto"/>
        <w:ind w:firstLine="480" w:firstLineChars="200"/>
        <w:jc w:val="left"/>
        <w:rPr>
          <w:rFonts w:ascii="仿宋" w:hAnsi="仿宋" w:eastAsia="仿宋"/>
          <w:sz w:val="24"/>
        </w:rPr>
      </w:pPr>
      <w:r>
        <w:rPr>
          <w:rFonts w:hint="eastAsia" w:eastAsia="仿宋"/>
          <w:color w:val="000000" w:themeColor="text1"/>
          <w:sz w:val="24"/>
          <w14:textFill>
            <w14:solidFill>
              <w14:schemeClr w14:val="tx1"/>
            </w14:solidFill>
          </w14:textFill>
        </w:rPr>
        <w:t>任务来源：</w:t>
      </w:r>
      <w:r>
        <w:rPr>
          <w:rFonts w:hint="eastAsia" w:ascii="仿宋" w:hAnsi="仿宋" w:eastAsia="仿宋"/>
          <w:sz w:val="24"/>
        </w:rPr>
        <w:t>深圳市商用显示系统产业促进会团体标准制定项目，</w:t>
      </w:r>
      <w:r>
        <w:rPr>
          <w:rFonts w:hint="eastAsia" w:eastAsia="仿宋"/>
          <w:color w:val="000000" w:themeColor="text1"/>
          <w:sz w:val="24"/>
          <w14:textFill>
            <w14:solidFill>
              <w14:schemeClr w14:val="tx1"/>
            </w14:solidFill>
          </w14:textFill>
        </w:rPr>
        <w:t>项目计划编号T</w:t>
      </w:r>
      <w:r>
        <w:rPr>
          <w:rFonts w:eastAsia="仿宋"/>
          <w:color w:val="000000" w:themeColor="text1"/>
          <w:sz w:val="24"/>
          <w14:textFill>
            <w14:solidFill>
              <w14:schemeClr w14:val="tx1"/>
            </w14:solidFill>
          </w14:textFill>
        </w:rPr>
        <w:t>/BDSA 6-2023</w:t>
      </w:r>
      <w:r>
        <w:rPr>
          <w:rFonts w:hint="eastAsia" w:ascii="仿宋" w:hAnsi="仿宋" w:eastAsia="仿宋"/>
          <w:sz w:val="24"/>
        </w:rPr>
        <w:t>；</w:t>
      </w:r>
    </w:p>
    <w:p>
      <w:pPr>
        <w:autoSpaceDE w:val="0"/>
        <w:autoSpaceDN w:val="0"/>
        <w:adjustRightInd w:val="0"/>
        <w:spacing w:line="360" w:lineRule="auto"/>
        <w:ind w:firstLine="480" w:firstLineChars="200"/>
        <w:jc w:val="left"/>
        <w:rPr>
          <w:rFonts w:ascii="仿宋" w:hAnsi="仿宋" w:eastAsia="仿宋"/>
          <w:sz w:val="24"/>
        </w:rPr>
      </w:pPr>
      <w:r>
        <w:rPr>
          <w:rFonts w:hint="eastAsia" w:ascii="仿宋" w:hAnsi="仿宋" w:eastAsia="仿宋"/>
          <w:sz w:val="24"/>
        </w:rPr>
        <w:t>归口单位：深圳市商用显示系统产业促进会（B</w:t>
      </w:r>
      <w:r>
        <w:rPr>
          <w:rFonts w:ascii="仿宋" w:hAnsi="仿宋" w:eastAsia="仿宋"/>
          <w:sz w:val="24"/>
        </w:rPr>
        <w:t>DSA</w:t>
      </w:r>
      <w:r>
        <w:rPr>
          <w:rFonts w:hint="eastAsia" w:ascii="仿宋" w:hAnsi="仿宋" w:eastAsia="仿宋"/>
          <w:sz w:val="24"/>
        </w:rPr>
        <w:t>）。</w:t>
      </w:r>
    </w:p>
    <w:p>
      <w:pPr>
        <w:pStyle w:val="5"/>
        <w:spacing w:before="0" w:after="0" w:line="360" w:lineRule="auto"/>
        <w:jc w:val="left"/>
        <w:rPr>
          <w:rFonts w:ascii="仿宋" w:hAnsi="仿宋" w:eastAsia="仿宋"/>
          <w:sz w:val="24"/>
          <w:szCs w:val="24"/>
        </w:rPr>
      </w:pPr>
      <w:r>
        <w:rPr>
          <w:rFonts w:ascii="仿宋" w:hAnsi="仿宋" w:eastAsia="仿宋"/>
          <w:sz w:val="24"/>
          <w:szCs w:val="24"/>
        </w:rPr>
        <w:t xml:space="preserve">1.2 </w:t>
      </w:r>
      <w:r>
        <w:rPr>
          <w:rFonts w:hint="eastAsia" w:ascii="仿宋" w:hAnsi="仿宋" w:eastAsia="仿宋"/>
          <w:sz w:val="24"/>
          <w:szCs w:val="24"/>
        </w:rPr>
        <w:t>编制单位</w:t>
      </w:r>
    </w:p>
    <w:p>
      <w:pPr>
        <w:spacing w:line="360" w:lineRule="auto"/>
        <w:ind w:firstLine="480" w:firstLineChars="200"/>
        <w:rPr>
          <w:sz w:val="24"/>
        </w:rPr>
      </w:pPr>
      <w:r>
        <w:rPr>
          <w:rFonts w:hint="eastAsia" w:ascii="仿宋" w:hAnsi="仿宋" w:eastAsia="仿宋"/>
          <w:sz w:val="24"/>
        </w:rPr>
        <w:t>本标准编制单位有：苏州诺菲纳米科技有限公司、天津宝兴威科技股份有限公司、江苏纳美达光电科技有限公司。</w:t>
      </w:r>
    </w:p>
    <w:p>
      <w:pPr>
        <w:shd w:val="clear" w:color="auto" w:fill="FFFFFF"/>
        <w:spacing w:line="360" w:lineRule="auto"/>
        <w:ind w:firstLine="480" w:firstLineChars="200"/>
        <w:rPr>
          <w:rFonts w:ascii="仿宋" w:hAnsi="仿宋" w:eastAsia="仿宋"/>
          <w:bCs/>
          <w:sz w:val="24"/>
        </w:rPr>
      </w:pPr>
      <w:r>
        <w:rPr>
          <w:rFonts w:hint="eastAsia" w:ascii="仿宋" w:hAnsi="仿宋" w:eastAsia="仿宋"/>
          <w:bCs/>
          <w:sz w:val="24"/>
        </w:rPr>
        <w:t>苏州诺菲纳米科技有限公司成立于</w:t>
      </w:r>
      <w:r>
        <w:rPr>
          <w:rFonts w:ascii="仿宋" w:hAnsi="仿宋" w:eastAsia="仿宋"/>
          <w:bCs/>
          <w:sz w:val="24"/>
        </w:rPr>
        <w:t>2012</w:t>
      </w:r>
      <w:r>
        <w:rPr>
          <w:rFonts w:hint="eastAsia" w:ascii="仿宋" w:hAnsi="仿宋" w:eastAsia="仿宋"/>
          <w:bCs/>
          <w:sz w:val="24"/>
        </w:rPr>
        <w:t>年，是国内首家致力于柔性纳米银薄膜开发与生产的持续创新型材料企业，也是国内首家步入纳米银导电薄膜量产的企业。在国家重大人才工程专家潘克菲博士的带领下，诺菲纳米科技用不到国外竞争对手二十分之一的成本、三分之一的时间，打破了长期以来垄断在国外的触摸屏材料技术壁垒，完成了从实验到产业化的整个进程，并一举成为国内技术最领先、产能最大的纳米银透明导电膜的生产企业。在知识产权方面，公司自成立以来，已先后申请</w:t>
      </w:r>
      <w:r>
        <w:rPr>
          <w:rFonts w:ascii="仿宋" w:hAnsi="仿宋" w:eastAsia="仿宋"/>
          <w:bCs/>
          <w:sz w:val="24"/>
        </w:rPr>
        <w:t>150</w:t>
      </w:r>
      <w:r>
        <w:rPr>
          <w:rFonts w:hint="eastAsia" w:ascii="仿宋" w:hAnsi="仿宋" w:eastAsia="仿宋"/>
          <w:bCs/>
          <w:sz w:val="24"/>
        </w:rPr>
        <w:t>余项专利，</w:t>
      </w:r>
      <w:r>
        <w:rPr>
          <w:rFonts w:ascii="仿宋" w:hAnsi="仿宋" w:eastAsia="仿宋"/>
          <w:bCs/>
          <w:sz w:val="24"/>
        </w:rPr>
        <w:t>90</w:t>
      </w:r>
      <w:r>
        <w:rPr>
          <w:rFonts w:hint="eastAsia" w:ascii="仿宋" w:hAnsi="仿宋" w:eastAsia="仿宋"/>
          <w:bCs/>
          <w:sz w:val="24"/>
        </w:rPr>
        <w:t>余项已获授权，专利布局分布于中、美、日、韩、澳，是国内唯一一家具备完整自主知识产权的企业。在标准化工作方面，董事长潘克菲博士大力倡导标准化工作的投入，躬身于我国标准化的发展，并于</w:t>
      </w:r>
      <w:r>
        <w:rPr>
          <w:rFonts w:ascii="仿宋" w:hAnsi="仿宋" w:eastAsia="仿宋"/>
          <w:bCs/>
          <w:sz w:val="24"/>
        </w:rPr>
        <w:t>2021</w:t>
      </w:r>
      <w:r>
        <w:rPr>
          <w:rFonts w:hint="eastAsia" w:ascii="仿宋" w:hAnsi="仿宋" w:eastAsia="仿宋"/>
          <w:bCs/>
          <w:sz w:val="24"/>
        </w:rPr>
        <w:t>年入选“江苏省纳米技术标准化技术委员会（</w:t>
      </w:r>
      <w:r>
        <w:rPr>
          <w:rFonts w:ascii="仿宋" w:hAnsi="仿宋" w:eastAsia="仿宋"/>
          <w:bCs/>
          <w:sz w:val="24"/>
        </w:rPr>
        <w:t>JC/TC53）”技术委员。目前，公司已相继获批国家高新技术企业、江苏省纳米新材料工程技术研究中心、苏州市企业技术中心、江苏省潜在独角兽企业、苏州市独角兽培育企业、苏州市瞪羚企业等，先后承担江苏省科技成果转化专项、江苏省科技支撑计划专项等多个项目。</w:t>
      </w:r>
    </w:p>
    <w:p>
      <w:pPr>
        <w:shd w:val="clear" w:color="auto" w:fill="FFFFFF"/>
        <w:spacing w:line="360" w:lineRule="auto"/>
        <w:ind w:firstLine="480" w:firstLineChars="200"/>
        <w:rPr>
          <w:rFonts w:ascii="仿宋" w:hAnsi="仿宋" w:eastAsia="仿宋"/>
          <w:sz w:val="24"/>
          <w:highlight w:val="yellow"/>
        </w:rPr>
      </w:pPr>
      <w:r>
        <w:rPr>
          <w:rFonts w:hint="eastAsia" w:ascii="仿宋" w:hAnsi="仿宋" w:eastAsia="仿宋"/>
          <w:sz w:val="24"/>
        </w:rPr>
        <w:t>天津宝兴威科技股份有限公司成立于2013年，主要从事纳米新材料、光学功能薄膜、触控模组、智能触控显示终端、车载全贴合产品的研发及生产，产品广泛应用于中大尺寸触控，柔性触控及可穿戴设备等领域。公司拥有多项荣誉资质，包括国家级专精特新小巨人企业、国家级高新技术企业、国家知识产权优势企业、中国创新创业大赛新材料行业天津市一等奖、天津市战略性新兴产业领军企业、天津市科技领军培育企业、天津市瞪羚企业等。宝兴威始终把技术研发视为企业持久发展的源动力，持续建设多个科研平台，现拥有天津市新型显示及柔性电子器件院士专家协同创新中心，天津市重点实验室，天津市企业技术中心。</w:t>
      </w:r>
    </w:p>
    <w:p>
      <w:pPr>
        <w:shd w:val="clear" w:color="auto" w:fill="FFFFFF"/>
        <w:spacing w:line="360" w:lineRule="auto"/>
        <w:ind w:firstLine="480" w:firstLineChars="200"/>
        <w:rPr>
          <w:rFonts w:ascii="仿宋" w:hAnsi="仿宋" w:eastAsia="仿宋"/>
          <w:sz w:val="24"/>
        </w:rPr>
      </w:pPr>
      <w:r>
        <w:rPr>
          <w:rFonts w:hint="eastAsia" w:ascii="仿宋" w:hAnsi="仿宋" w:eastAsia="仿宋"/>
          <w:sz w:val="24"/>
        </w:rPr>
        <w:t>江苏纳美达光电科技有限公司（简称纳美达光电），是一家专注于纳米银线透明导电薄膜材料和器件的高科技企业，公司前身是成立于2015年的北京华纳高科，由国家纳米科学中心和北京大学多位博士联合创立，专注于纳米光电材料和器件的研发与产业化。2020年纳美达光电荣获苏州园区领军，总部迁移到苏州。2021年纳美达光电再获苏州姑苏领军，建成纳米银线触摸屏生产基地。2023年纳美达光电获得“最具投资价值的纳米光电材料企业”殊荣。纳美达光电始终坚持以纳米材料薄膜化为核心技术，致力于实现高纯、高一致性纳米材料的高浓度、高分散型薄膜成型，为光电、半导体、新能源、生物医药等行业提供高性能的纳米功能薄膜材料和器件。纳美达光电以苏州总部为核心，强化研发中心建设，扩大生产基地规模，打造产品方案和市场销售中心，完善技术开发和质量管理体系，努力在工控、一体机、笔电、PAD、手机、教育机、会议机、广告机等市场形成规模。</w:t>
      </w:r>
    </w:p>
    <w:p>
      <w:pPr>
        <w:pStyle w:val="5"/>
        <w:spacing w:before="0" w:after="0" w:line="360" w:lineRule="auto"/>
        <w:jc w:val="left"/>
        <w:rPr>
          <w:rFonts w:ascii="仿宋" w:hAnsi="仿宋" w:eastAsia="仿宋"/>
          <w:sz w:val="24"/>
          <w:szCs w:val="24"/>
        </w:rPr>
      </w:pPr>
      <w:r>
        <w:rPr>
          <w:rFonts w:ascii="仿宋" w:hAnsi="仿宋" w:eastAsia="仿宋"/>
          <w:sz w:val="24"/>
          <w:szCs w:val="24"/>
        </w:rPr>
        <w:t xml:space="preserve">1.3 </w:t>
      </w:r>
      <w:r>
        <w:rPr>
          <w:rFonts w:hint="eastAsia" w:ascii="仿宋" w:hAnsi="仿宋" w:eastAsia="仿宋"/>
          <w:sz w:val="24"/>
          <w:szCs w:val="24"/>
        </w:rPr>
        <w:t>编制目的和意义</w:t>
      </w:r>
    </w:p>
    <w:p>
      <w:pPr>
        <w:shd w:val="clear" w:color="auto" w:fill="FFFFFF"/>
        <w:spacing w:line="360" w:lineRule="auto"/>
        <w:ind w:firstLine="480" w:firstLineChars="200"/>
        <w:rPr>
          <w:rFonts w:ascii="仿宋" w:hAnsi="仿宋" w:eastAsia="仿宋"/>
          <w:bCs/>
          <w:sz w:val="24"/>
        </w:rPr>
      </w:pPr>
      <w:r>
        <w:rPr>
          <w:rFonts w:hint="eastAsia" w:ascii="仿宋" w:hAnsi="仿宋" w:eastAsia="仿宋"/>
          <w:bCs/>
          <w:sz w:val="24"/>
        </w:rPr>
        <w:t>随着电容式触摸屏的应用越来越广泛，从智慧教育、智慧会议，到智慧出行、智慧医疗和政务等多个领域，电容式触摸屏的应用需求日益增加。近年来显示市场上，触摸屏正逐渐向柔性、更大尺寸切换，其中可折叠、可弯曲的软屏占比不断提升。基于纳米银线的导电薄膜具有透光率高、方阻低、柔性好的特性，在柔性触摸屏以及刚性触摸屏屏感应层的应用中，有着独特的优点。因此，统一基于纳米银线透明电极的电容式触摸屏的技术要求及检测方法很有必要，为科研、产品开发和质量控制提供参考，指导新产品的评估、筛选与研发改进。</w:t>
      </w:r>
    </w:p>
    <w:p>
      <w:pPr>
        <w:shd w:val="clear" w:color="auto" w:fill="FFFFFF"/>
        <w:spacing w:line="360" w:lineRule="auto"/>
        <w:ind w:firstLine="480" w:firstLineChars="200"/>
        <w:rPr>
          <w:rFonts w:ascii="仿宋" w:hAnsi="仿宋" w:eastAsia="仿宋"/>
          <w:bCs/>
          <w:sz w:val="24"/>
        </w:rPr>
      </w:pPr>
      <w:r>
        <w:rPr>
          <w:rFonts w:hint="eastAsia" w:ascii="仿宋" w:hAnsi="仿宋" w:eastAsia="仿宋"/>
          <w:bCs/>
          <w:sz w:val="24"/>
        </w:rPr>
        <w:t>本文件描述了基于纳米银线透明电极的电容式触摸屏的技术要求和检测方法。技术规范的制定可以防止低质量产品的出现，保障消费者权益，维护市场秩序；可以规范生产过程，提高生产效率，减少生产过程中的浪费和重复劳动，提高生产效率和产品质量；可以促进技术创新和发展，提高服务水平和产品质量，增加市场竞争力。</w:t>
      </w:r>
    </w:p>
    <w:p>
      <w:pPr>
        <w:pStyle w:val="5"/>
        <w:spacing w:before="0" w:after="0" w:line="360" w:lineRule="auto"/>
        <w:jc w:val="left"/>
        <w:rPr>
          <w:rFonts w:ascii="仿宋" w:hAnsi="仿宋" w:eastAsia="仿宋"/>
          <w:sz w:val="24"/>
          <w:szCs w:val="24"/>
        </w:rPr>
      </w:pPr>
      <w:r>
        <w:rPr>
          <w:rFonts w:ascii="仿宋" w:hAnsi="仿宋" w:eastAsia="仿宋"/>
          <w:sz w:val="24"/>
          <w:szCs w:val="24"/>
        </w:rPr>
        <w:t xml:space="preserve">1.4 </w:t>
      </w:r>
      <w:r>
        <w:rPr>
          <w:rFonts w:hint="eastAsia" w:ascii="仿宋" w:hAnsi="仿宋" w:eastAsia="仿宋"/>
          <w:sz w:val="24"/>
          <w:szCs w:val="24"/>
        </w:rPr>
        <w:t>国内外相关标准情况</w:t>
      </w:r>
    </w:p>
    <w:p>
      <w:pPr>
        <w:shd w:val="clear" w:color="auto" w:fill="FFFFFF"/>
        <w:spacing w:line="360" w:lineRule="auto"/>
        <w:ind w:firstLine="480" w:firstLineChars="200"/>
        <w:rPr>
          <w:rFonts w:ascii="仿宋" w:hAnsi="仿宋" w:eastAsia="仿宋"/>
          <w:bCs/>
          <w:sz w:val="24"/>
        </w:rPr>
      </w:pPr>
      <w:r>
        <w:rPr>
          <w:rFonts w:hint="eastAsia" w:ascii="仿宋" w:hAnsi="仿宋" w:eastAsia="仿宋"/>
          <w:bCs/>
          <w:sz w:val="24"/>
        </w:rPr>
        <w:t>目前，国际上、国内尚未有针对基于纳米银线透明电极的电容式触摸屏的技术要求及检测方法。</w:t>
      </w:r>
    </w:p>
    <w:p>
      <w:pPr>
        <w:pStyle w:val="5"/>
        <w:spacing w:before="0" w:after="0" w:line="360" w:lineRule="auto"/>
        <w:jc w:val="left"/>
        <w:rPr>
          <w:rFonts w:ascii="仿宋" w:hAnsi="仿宋" w:eastAsia="仿宋"/>
          <w:sz w:val="24"/>
          <w:szCs w:val="24"/>
        </w:rPr>
      </w:pPr>
      <w:r>
        <w:rPr>
          <w:rFonts w:ascii="仿宋" w:hAnsi="仿宋" w:eastAsia="仿宋"/>
          <w:sz w:val="24"/>
          <w:szCs w:val="24"/>
        </w:rPr>
        <w:t xml:space="preserve">1.5 </w:t>
      </w:r>
      <w:r>
        <w:rPr>
          <w:rFonts w:hint="eastAsia" w:ascii="仿宋" w:hAnsi="仿宋" w:eastAsia="仿宋"/>
          <w:sz w:val="24"/>
          <w:szCs w:val="24"/>
        </w:rPr>
        <w:t>工作过程</w:t>
      </w:r>
    </w:p>
    <w:p>
      <w:pPr>
        <w:spacing w:line="360" w:lineRule="auto"/>
        <w:ind w:firstLine="480" w:firstLineChars="200"/>
        <w:rPr>
          <w:rFonts w:ascii="仿宋" w:hAnsi="仿宋" w:eastAsia="仿宋"/>
          <w:bCs/>
          <w:sz w:val="24"/>
        </w:rPr>
      </w:pPr>
      <w:r>
        <w:rPr>
          <w:rFonts w:hint="eastAsia" w:ascii="仿宋" w:hAnsi="仿宋" w:eastAsia="仿宋"/>
          <w:bCs/>
          <w:sz w:val="24"/>
        </w:rPr>
        <w:t>1）立项阶段</w:t>
      </w:r>
    </w:p>
    <w:p>
      <w:pPr>
        <w:spacing w:line="360" w:lineRule="auto"/>
        <w:ind w:firstLine="480" w:firstLineChars="200"/>
        <w:rPr>
          <w:rFonts w:ascii="仿宋" w:hAnsi="仿宋" w:eastAsia="仿宋"/>
          <w:bCs/>
          <w:sz w:val="24"/>
        </w:rPr>
      </w:pPr>
      <w:r>
        <w:rPr>
          <w:rFonts w:ascii="仿宋" w:hAnsi="仿宋" w:eastAsia="仿宋"/>
          <w:bCs/>
          <w:sz w:val="24"/>
        </w:rPr>
        <w:t>2023</w:t>
      </w:r>
      <w:r>
        <w:rPr>
          <w:rFonts w:hint="eastAsia" w:ascii="仿宋" w:hAnsi="仿宋" w:eastAsia="仿宋"/>
          <w:bCs/>
          <w:sz w:val="24"/>
        </w:rPr>
        <w:t>年</w:t>
      </w:r>
      <w:r>
        <w:rPr>
          <w:rFonts w:ascii="仿宋" w:hAnsi="仿宋" w:eastAsia="仿宋"/>
          <w:bCs/>
          <w:sz w:val="24"/>
        </w:rPr>
        <w:t>10月，标准起草工作预备组</w:t>
      </w:r>
      <w:r>
        <w:rPr>
          <w:rFonts w:hint="eastAsia" w:ascii="仿宋" w:hAnsi="仿宋" w:eastAsia="仿宋"/>
          <w:bCs/>
          <w:sz w:val="24"/>
        </w:rPr>
        <w:t>以</w:t>
      </w:r>
      <w:r>
        <w:rPr>
          <w:rFonts w:ascii="仿宋" w:hAnsi="仿宋" w:eastAsia="仿宋"/>
          <w:bCs/>
          <w:sz w:val="24"/>
        </w:rPr>
        <w:t>基于</w:t>
      </w:r>
      <w:r>
        <w:rPr>
          <w:rFonts w:hint="eastAsia" w:ascii="仿宋" w:hAnsi="仿宋" w:eastAsia="仿宋"/>
          <w:bCs/>
          <w:sz w:val="24"/>
        </w:rPr>
        <w:t>纳米银线透明电极的电容式触摸屏的检验需求为依据，通过广泛研究比对</w:t>
      </w:r>
      <w:r>
        <w:rPr>
          <w:rFonts w:ascii="仿宋" w:hAnsi="仿宋" w:eastAsia="仿宋"/>
          <w:bCs/>
          <w:sz w:val="24"/>
        </w:rPr>
        <w:t>基于</w:t>
      </w:r>
      <w:r>
        <w:rPr>
          <w:rFonts w:hint="eastAsia" w:ascii="仿宋" w:hAnsi="仿宋" w:eastAsia="仿宋"/>
          <w:bCs/>
          <w:sz w:val="24"/>
        </w:rPr>
        <w:t>纳米银线透明电极的电容式触摸屏的各项技术要求与检测方法，经过讨论，工作组确定了标准的名称为《基于纳米银线透明电极的电容式触摸屏技术要求及检测方法》。</w:t>
      </w:r>
    </w:p>
    <w:p>
      <w:pPr>
        <w:spacing w:line="360" w:lineRule="auto"/>
        <w:ind w:firstLine="480" w:firstLineChars="200"/>
        <w:rPr>
          <w:rFonts w:ascii="仿宋" w:hAnsi="仿宋" w:eastAsia="仿宋"/>
          <w:bCs/>
          <w:sz w:val="24"/>
        </w:rPr>
      </w:pPr>
      <w:r>
        <w:rPr>
          <w:rFonts w:ascii="仿宋" w:hAnsi="仿宋" w:eastAsia="仿宋"/>
          <w:bCs/>
          <w:sz w:val="24"/>
        </w:rPr>
        <w:t>2</w:t>
      </w:r>
      <w:r>
        <w:rPr>
          <w:rFonts w:hint="eastAsia" w:ascii="仿宋" w:hAnsi="仿宋" w:eastAsia="仿宋"/>
          <w:bCs/>
          <w:sz w:val="24"/>
        </w:rPr>
        <w:t>）起草阶段</w:t>
      </w:r>
    </w:p>
    <w:p>
      <w:pPr>
        <w:pStyle w:val="12"/>
        <w:spacing w:line="360" w:lineRule="auto"/>
        <w:ind w:firstLine="480" w:firstLineChars="200"/>
        <w:jc w:val="both"/>
        <w:rPr>
          <w:rFonts w:ascii="仿宋" w:hAnsi="仿宋" w:eastAsia="仿宋"/>
          <w:color w:val="auto"/>
        </w:rPr>
      </w:pPr>
      <w:r>
        <w:rPr>
          <w:rFonts w:ascii="仿宋" w:hAnsi="仿宋" w:eastAsia="仿宋"/>
          <w:color w:val="auto"/>
        </w:rPr>
        <w:t>2023年10</w:t>
      </w:r>
      <w:r>
        <w:rPr>
          <w:rFonts w:hint="eastAsia" w:ascii="仿宋" w:hAnsi="仿宋" w:eastAsia="仿宋"/>
          <w:color w:val="auto"/>
        </w:rPr>
        <w:t>月~</w:t>
      </w:r>
      <w:r>
        <w:rPr>
          <w:rFonts w:ascii="仿宋" w:hAnsi="仿宋" w:eastAsia="仿宋"/>
          <w:color w:val="auto"/>
        </w:rPr>
        <w:t>12</w:t>
      </w:r>
      <w:r>
        <w:rPr>
          <w:rFonts w:hint="eastAsia" w:ascii="仿宋" w:hAnsi="仿宋" w:eastAsia="仿宋"/>
          <w:color w:val="auto"/>
        </w:rPr>
        <w:t>月，</w:t>
      </w:r>
      <w:r>
        <w:rPr>
          <w:rFonts w:hint="eastAsia" w:ascii="仿宋" w:hAnsi="仿宋" w:eastAsia="仿宋"/>
          <w:bCs/>
          <w:color w:val="auto"/>
        </w:rPr>
        <w:t>组建了标准起草工作组，讨论了具体的工作过程，拟定了相应的工作计划，对标准技术内容进行沟通和修改。</w:t>
      </w:r>
      <w:r>
        <w:rPr>
          <w:rFonts w:hint="eastAsia" w:ascii="仿宋" w:hAnsi="仿宋" w:eastAsia="仿宋"/>
          <w:color w:val="auto"/>
        </w:rPr>
        <w:t>形成了工作组讨论稿。</w:t>
      </w:r>
    </w:p>
    <w:p>
      <w:pPr>
        <w:pStyle w:val="12"/>
        <w:spacing w:line="360" w:lineRule="auto"/>
        <w:ind w:firstLine="480" w:firstLineChars="200"/>
        <w:jc w:val="both"/>
        <w:rPr>
          <w:rFonts w:ascii="仿宋" w:hAnsi="仿宋" w:eastAsia="仿宋"/>
          <w:color w:val="auto"/>
        </w:rPr>
      </w:pPr>
      <w:r>
        <w:rPr>
          <w:rFonts w:ascii="仿宋" w:hAnsi="仿宋" w:eastAsia="仿宋"/>
          <w:color w:val="auto"/>
        </w:rPr>
        <w:t>2023</w:t>
      </w:r>
      <w:r>
        <w:rPr>
          <w:rFonts w:hint="eastAsia" w:ascii="仿宋" w:hAnsi="仿宋" w:eastAsia="仿宋"/>
          <w:color w:val="auto"/>
        </w:rPr>
        <w:t>年</w:t>
      </w:r>
      <w:r>
        <w:rPr>
          <w:rFonts w:ascii="仿宋" w:hAnsi="仿宋" w:eastAsia="仿宋"/>
          <w:color w:val="auto"/>
        </w:rPr>
        <w:t>12</w:t>
      </w:r>
      <w:r>
        <w:rPr>
          <w:rFonts w:hint="eastAsia" w:ascii="仿宋" w:hAnsi="仿宋" w:eastAsia="仿宋"/>
          <w:color w:val="auto"/>
        </w:rPr>
        <w:t>月</w:t>
      </w:r>
      <w:r>
        <w:rPr>
          <w:rFonts w:ascii="仿宋" w:hAnsi="仿宋" w:eastAsia="仿宋"/>
          <w:color w:val="auto"/>
        </w:rPr>
        <w:t>~2024</w:t>
      </w:r>
      <w:r>
        <w:rPr>
          <w:rFonts w:hint="eastAsia" w:ascii="仿宋" w:hAnsi="仿宋" w:eastAsia="仿宋"/>
          <w:color w:val="auto"/>
        </w:rPr>
        <w:t>年0</w:t>
      </w:r>
      <w:r>
        <w:rPr>
          <w:rFonts w:ascii="仿宋" w:hAnsi="仿宋" w:eastAsia="仿宋"/>
          <w:color w:val="auto"/>
        </w:rPr>
        <w:t>1</w:t>
      </w:r>
      <w:r>
        <w:rPr>
          <w:rFonts w:hint="eastAsia" w:ascii="仿宋" w:hAnsi="仿宋" w:eastAsia="仿宋"/>
          <w:color w:val="auto"/>
        </w:rPr>
        <w:t>月，标准起草工作组多次通过网络、现场会议等对标准技术内容进行研讨，对标准结构进行规范，对标准内容修改完善，形成标准征求意见初稿。</w:t>
      </w:r>
    </w:p>
    <w:p>
      <w:pPr>
        <w:pStyle w:val="5"/>
        <w:spacing w:before="0" w:after="0" w:line="360" w:lineRule="auto"/>
        <w:jc w:val="left"/>
        <w:rPr>
          <w:rFonts w:ascii="仿宋" w:hAnsi="仿宋" w:eastAsia="仿宋"/>
          <w:sz w:val="24"/>
          <w:szCs w:val="24"/>
        </w:rPr>
      </w:pPr>
      <w:r>
        <w:rPr>
          <w:rFonts w:ascii="仿宋" w:hAnsi="仿宋" w:eastAsia="仿宋"/>
          <w:sz w:val="24"/>
          <w:szCs w:val="24"/>
        </w:rPr>
        <w:t xml:space="preserve">1.6 </w:t>
      </w:r>
      <w:r>
        <w:rPr>
          <w:rFonts w:hint="eastAsia" w:ascii="仿宋" w:hAnsi="仿宋" w:eastAsia="仿宋"/>
          <w:sz w:val="24"/>
          <w:szCs w:val="24"/>
        </w:rPr>
        <w:t>标准起草人员及分工</w:t>
      </w:r>
    </w:p>
    <w:p>
      <w:pPr>
        <w:spacing w:line="360" w:lineRule="auto"/>
        <w:jc w:val="center"/>
        <w:rPr>
          <w:rFonts w:ascii="黑体" w:hAnsi="黑体" w:eastAsia="黑体"/>
          <w:sz w:val="24"/>
        </w:rPr>
      </w:pPr>
      <w:r>
        <w:rPr>
          <w:rFonts w:hint="eastAsia" w:ascii="黑体" w:hAnsi="黑体" w:eastAsia="黑体"/>
          <w:sz w:val="24"/>
        </w:rPr>
        <w:t>表</w:t>
      </w:r>
      <w:r>
        <w:rPr>
          <w:rFonts w:ascii="黑体" w:hAnsi="黑体" w:eastAsia="黑体"/>
          <w:sz w:val="24"/>
        </w:rPr>
        <w:t>1 标准起草工作组人员</w:t>
      </w:r>
      <w:r>
        <w:rPr>
          <w:rFonts w:hint="eastAsia" w:ascii="黑体" w:hAnsi="黑体" w:eastAsia="黑体"/>
          <w:sz w:val="24"/>
        </w:rPr>
        <w:t>及分工</w:t>
      </w:r>
    </w:p>
    <w:tbl>
      <w:tblPr>
        <w:tblStyle w:val="6"/>
        <w:tblW w:w="975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403"/>
        <w:gridCol w:w="1843"/>
        <w:gridCol w:w="2126"/>
        <w:gridCol w:w="2126"/>
        <w:gridCol w:w="226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403" w:type="dxa"/>
            <w:vAlign w:val="center"/>
          </w:tcPr>
          <w:p>
            <w:pPr>
              <w:widowControl/>
              <w:spacing w:line="360" w:lineRule="auto"/>
              <w:jc w:val="center"/>
              <w:rPr>
                <w:rFonts w:ascii="仿宋" w:hAnsi="仿宋" w:eastAsia="仿宋"/>
                <w:b/>
                <w:sz w:val="24"/>
              </w:rPr>
            </w:pPr>
            <w:r>
              <w:rPr>
                <w:rFonts w:hint="eastAsia" w:ascii="仿宋" w:hAnsi="仿宋" w:eastAsia="仿宋"/>
                <w:b/>
                <w:sz w:val="24"/>
              </w:rPr>
              <w:t>姓</w:t>
            </w:r>
            <w:r>
              <w:rPr>
                <w:rFonts w:ascii="仿宋" w:hAnsi="仿宋" w:eastAsia="仿宋"/>
                <w:b/>
                <w:sz w:val="24"/>
              </w:rPr>
              <w:t xml:space="preserve"> </w:t>
            </w:r>
            <w:r>
              <w:rPr>
                <w:rFonts w:hint="eastAsia" w:ascii="仿宋" w:hAnsi="仿宋" w:eastAsia="仿宋"/>
                <w:b/>
                <w:sz w:val="24"/>
              </w:rPr>
              <w:t>名</w:t>
            </w:r>
          </w:p>
        </w:tc>
        <w:tc>
          <w:tcPr>
            <w:tcW w:w="1843" w:type="dxa"/>
            <w:vAlign w:val="center"/>
          </w:tcPr>
          <w:p>
            <w:pPr>
              <w:widowControl/>
              <w:spacing w:line="360" w:lineRule="auto"/>
              <w:jc w:val="center"/>
              <w:rPr>
                <w:rFonts w:ascii="仿宋" w:hAnsi="仿宋" w:eastAsia="仿宋"/>
                <w:b/>
                <w:sz w:val="24"/>
              </w:rPr>
            </w:pPr>
            <w:r>
              <w:rPr>
                <w:rFonts w:hint="eastAsia" w:ascii="仿宋" w:hAnsi="仿宋" w:eastAsia="仿宋"/>
                <w:b/>
                <w:sz w:val="24"/>
              </w:rPr>
              <w:t>职务</w:t>
            </w:r>
            <w:r>
              <w:rPr>
                <w:rFonts w:ascii="仿宋" w:hAnsi="仿宋" w:eastAsia="仿宋"/>
                <w:b/>
                <w:sz w:val="24"/>
              </w:rPr>
              <w:t>/职称</w:t>
            </w:r>
          </w:p>
        </w:tc>
        <w:tc>
          <w:tcPr>
            <w:tcW w:w="2126" w:type="dxa"/>
            <w:vAlign w:val="center"/>
          </w:tcPr>
          <w:p>
            <w:pPr>
              <w:widowControl/>
              <w:spacing w:line="360" w:lineRule="auto"/>
              <w:jc w:val="center"/>
              <w:rPr>
                <w:rFonts w:ascii="仿宋" w:hAnsi="仿宋" w:eastAsia="仿宋"/>
                <w:b/>
                <w:sz w:val="24"/>
              </w:rPr>
            </w:pPr>
            <w:r>
              <w:rPr>
                <w:rFonts w:hint="eastAsia" w:ascii="仿宋" w:hAnsi="仿宋" w:eastAsia="仿宋"/>
                <w:b/>
                <w:sz w:val="24"/>
              </w:rPr>
              <w:t>工</w:t>
            </w:r>
            <w:r>
              <w:rPr>
                <w:rFonts w:ascii="仿宋" w:hAnsi="仿宋" w:eastAsia="仿宋"/>
                <w:b/>
                <w:sz w:val="24"/>
              </w:rPr>
              <w:t xml:space="preserve"> </w:t>
            </w:r>
            <w:r>
              <w:rPr>
                <w:rFonts w:hint="eastAsia" w:ascii="仿宋" w:hAnsi="仿宋" w:eastAsia="仿宋"/>
                <w:b/>
                <w:sz w:val="24"/>
              </w:rPr>
              <w:t>作</w:t>
            </w:r>
            <w:r>
              <w:rPr>
                <w:rFonts w:ascii="仿宋" w:hAnsi="仿宋" w:eastAsia="仿宋"/>
                <w:b/>
                <w:sz w:val="24"/>
              </w:rPr>
              <w:t xml:space="preserve"> </w:t>
            </w:r>
            <w:r>
              <w:rPr>
                <w:rFonts w:hint="eastAsia" w:ascii="仿宋" w:hAnsi="仿宋" w:eastAsia="仿宋"/>
                <w:b/>
                <w:sz w:val="24"/>
              </w:rPr>
              <w:t>单</w:t>
            </w:r>
            <w:r>
              <w:rPr>
                <w:rFonts w:ascii="仿宋" w:hAnsi="仿宋" w:eastAsia="仿宋"/>
                <w:b/>
                <w:sz w:val="24"/>
              </w:rPr>
              <w:t xml:space="preserve"> </w:t>
            </w:r>
            <w:r>
              <w:rPr>
                <w:rFonts w:hint="eastAsia" w:ascii="仿宋" w:hAnsi="仿宋" w:eastAsia="仿宋"/>
                <w:b/>
                <w:sz w:val="24"/>
              </w:rPr>
              <w:t>位</w:t>
            </w:r>
          </w:p>
        </w:tc>
        <w:tc>
          <w:tcPr>
            <w:tcW w:w="2126" w:type="dxa"/>
            <w:vAlign w:val="center"/>
          </w:tcPr>
          <w:p>
            <w:pPr>
              <w:widowControl/>
              <w:spacing w:line="360" w:lineRule="auto"/>
              <w:jc w:val="center"/>
              <w:rPr>
                <w:rFonts w:ascii="仿宋" w:hAnsi="仿宋" w:eastAsia="仿宋"/>
                <w:b/>
                <w:sz w:val="24"/>
              </w:rPr>
            </w:pPr>
            <w:r>
              <w:rPr>
                <w:rFonts w:hint="eastAsia" w:ascii="仿宋" w:hAnsi="仿宋" w:eastAsia="仿宋"/>
                <w:b/>
                <w:sz w:val="24"/>
              </w:rPr>
              <w:t>联系方式</w:t>
            </w:r>
          </w:p>
        </w:tc>
        <w:tc>
          <w:tcPr>
            <w:tcW w:w="2260" w:type="dxa"/>
            <w:vAlign w:val="center"/>
          </w:tcPr>
          <w:p>
            <w:pPr>
              <w:widowControl/>
              <w:spacing w:line="360" w:lineRule="auto"/>
              <w:jc w:val="center"/>
              <w:rPr>
                <w:rFonts w:ascii="仿宋" w:hAnsi="仿宋" w:eastAsia="仿宋"/>
                <w:b/>
                <w:sz w:val="24"/>
              </w:rPr>
            </w:pPr>
            <w:r>
              <w:rPr>
                <w:rFonts w:hint="eastAsia" w:ascii="仿宋" w:hAnsi="仿宋" w:eastAsia="仿宋"/>
                <w:b/>
                <w:sz w:val="24"/>
              </w:rPr>
              <w:t>在本标准中的职责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403"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潘克菲</w:t>
            </w:r>
          </w:p>
        </w:tc>
        <w:tc>
          <w:tcPr>
            <w:tcW w:w="1843"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董事长、CTO</w:t>
            </w:r>
          </w:p>
        </w:tc>
        <w:tc>
          <w:tcPr>
            <w:tcW w:w="2126"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苏州诺菲纳米科技有限公司</w:t>
            </w:r>
          </w:p>
        </w:tc>
        <w:tc>
          <w:tcPr>
            <w:tcW w:w="2126"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hfp@nuovofilm.com</w:t>
            </w:r>
          </w:p>
        </w:tc>
        <w:tc>
          <w:tcPr>
            <w:tcW w:w="2260"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负责标准整体工作</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403"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贺强</w:t>
            </w:r>
          </w:p>
        </w:tc>
        <w:tc>
          <w:tcPr>
            <w:tcW w:w="1843"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研发经理</w:t>
            </w:r>
          </w:p>
        </w:tc>
        <w:tc>
          <w:tcPr>
            <w:tcW w:w="2126"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苏州诺菲纳米科技有限公司</w:t>
            </w:r>
          </w:p>
        </w:tc>
        <w:tc>
          <w:tcPr>
            <w:tcW w:w="2126"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qiang.he@nuovofilm.com</w:t>
            </w:r>
          </w:p>
        </w:tc>
        <w:tc>
          <w:tcPr>
            <w:tcW w:w="2260"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标准内容修改、技术论证、内容核验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403"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高倩玉</w:t>
            </w:r>
          </w:p>
        </w:tc>
        <w:tc>
          <w:tcPr>
            <w:tcW w:w="1843"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工程师</w:t>
            </w:r>
          </w:p>
        </w:tc>
        <w:tc>
          <w:tcPr>
            <w:tcW w:w="2126"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苏州诺菲纳米科技有限公司</w:t>
            </w:r>
          </w:p>
        </w:tc>
        <w:tc>
          <w:tcPr>
            <w:tcW w:w="2126"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qianyu.gao@nuovofilm.com</w:t>
            </w:r>
          </w:p>
        </w:tc>
        <w:tc>
          <w:tcPr>
            <w:tcW w:w="2260" w:type="dxa"/>
            <w:vAlign w:val="center"/>
          </w:tcPr>
          <w:p>
            <w:pPr>
              <w:widowControl/>
              <w:spacing w:line="360" w:lineRule="auto"/>
              <w:jc w:val="left"/>
              <w:rPr>
                <w:rFonts w:ascii="仿宋" w:hAnsi="仿宋" w:eastAsia="仿宋"/>
                <w:sz w:val="24"/>
              </w:rPr>
            </w:pPr>
            <w:r>
              <w:rPr>
                <w:rFonts w:hint="eastAsia" w:ascii="仿宋" w:hAnsi="仿宋" w:eastAsia="仿宋"/>
                <w:color w:val="000000"/>
                <w:sz w:val="24"/>
              </w:rPr>
              <w:t>文本起草、征求意见、标准内容修改、编制说明等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403" w:type="dxa"/>
            <w:vAlign w:val="center"/>
          </w:tcPr>
          <w:p>
            <w:pPr>
              <w:widowControl/>
              <w:spacing w:line="360" w:lineRule="auto"/>
              <w:jc w:val="left"/>
              <w:rPr>
                <w:rFonts w:ascii="仿宋" w:hAnsi="仿宋" w:eastAsia="仿宋"/>
                <w:sz w:val="24"/>
              </w:rPr>
            </w:pPr>
            <w:r>
              <w:rPr>
                <w:rFonts w:hint="eastAsia" w:ascii="仿宋" w:hAnsi="仿宋" w:eastAsia="仿宋"/>
                <w:sz w:val="24"/>
              </w:rPr>
              <w:t>司荣美</w:t>
            </w:r>
          </w:p>
        </w:tc>
        <w:tc>
          <w:tcPr>
            <w:tcW w:w="1843" w:type="dxa"/>
            <w:vAlign w:val="center"/>
          </w:tcPr>
          <w:p>
            <w:pPr>
              <w:widowControl/>
              <w:spacing w:line="360" w:lineRule="auto"/>
              <w:jc w:val="left"/>
              <w:rPr>
                <w:rFonts w:ascii="仿宋" w:hAnsi="仿宋" w:eastAsia="仿宋"/>
                <w:sz w:val="24"/>
              </w:rPr>
            </w:pPr>
            <w:r>
              <w:rPr>
                <w:rFonts w:hint="eastAsia" w:ascii="仿宋" w:hAnsi="仿宋" w:eastAsia="仿宋"/>
                <w:sz w:val="24"/>
              </w:rPr>
              <w:t>技术副总</w:t>
            </w:r>
          </w:p>
        </w:tc>
        <w:tc>
          <w:tcPr>
            <w:tcW w:w="2126" w:type="dxa"/>
            <w:vAlign w:val="center"/>
          </w:tcPr>
          <w:p>
            <w:pPr>
              <w:widowControl/>
              <w:spacing w:line="360" w:lineRule="auto"/>
              <w:jc w:val="left"/>
              <w:rPr>
                <w:rFonts w:ascii="仿宋" w:hAnsi="仿宋" w:eastAsia="仿宋"/>
                <w:sz w:val="24"/>
              </w:rPr>
            </w:pPr>
            <w:r>
              <w:rPr>
                <w:rFonts w:hint="eastAsia" w:ascii="仿宋" w:hAnsi="仿宋" w:eastAsia="仿宋"/>
                <w:sz w:val="24"/>
              </w:rPr>
              <w:t>天津宝兴威科技股份有限公司</w:t>
            </w:r>
          </w:p>
        </w:tc>
        <w:tc>
          <w:tcPr>
            <w:tcW w:w="2126" w:type="dxa"/>
            <w:vAlign w:val="center"/>
          </w:tcPr>
          <w:p>
            <w:pPr>
              <w:widowControl/>
              <w:spacing w:line="360" w:lineRule="auto"/>
              <w:jc w:val="left"/>
              <w:rPr>
                <w:rFonts w:ascii="仿宋" w:hAnsi="仿宋" w:eastAsia="仿宋"/>
                <w:sz w:val="24"/>
              </w:rPr>
            </w:pPr>
            <w:r>
              <w:rPr>
                <w:rFonts w:ascii="仿宋" w:hAnsi="仿宋" w:eastAsia="仿宋"/>
                <w:sz w:val="24"/>
              </w:rPr>
              <w:t>15022678371</w:t>
            </w:r>
          </w:p>
        </w:tc>
        <w:tc>
          <w:tcPr>
            <w:tcW w:w="2260" w:type="dxa"/>
            <w:vAlign w:val="center"/>
          </w:tcPr>
          <w:p>
            <w:pPr>
              <w:widowControl/>
              <w:spacing w:line="360" w:lineRule="auto"/>
              <w:jc w:val="left"/>
              <w:rPr>
                <w:rFonts w:ascii="仿宋" w:hAnsi="仿宋" w:eastAsia="仿宋"/>
                <w:sz w:val="24"/>
              </w:rPr>
            </w:pPr>
            <w:r>
              <w:rPr>
                <w:rFonts w:hint="eastAsia" w:ascii="仿宋" w:hAnsi="仿宋" w:eastAsia="仿宋"/>
                <w:sz w:val="24"/>
              </w:rPr>
              <w:t>技术论证</w:t>
            </w:r>
            <w:r>
              <w:rPr>
                <w:rFonts w:hint="eastAsia" w:ascii="仿宋" w:hAnsi="仿宋" w:eastAsia="仿宋"/>
                <w:color w:val="000000"/>
                <w:sz w:val="24"/>
              </w:rPr>
              <w:t>、内容核验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trPr>
        <w:tc>
          <w:tcPr>
            <w:tcW w:w="1403" w:type="dxa"/>
            <w:vAlign w:val="center"/>
          </w:tcPr>
          <w:p>
            <w:pPr>
              <w:widowControl/>
              <w:spacing w:line="360" w:lineRule="auto"/>
              <w:jc w:val="left"/>
              <w:rPr>
                <w:rFonts w:ascii="仿宋" w:hAnsi="仿宋" w:eastAsia="仿宋"/>
                <w:sz w:val="24"/>
              </w:rPr>
            </w:pPr>
            <w:r>
              <w:rPr>
                <w:rFonts w:hint="eastAsia" w:ascii="仿宋" w:hAnsi="仿宋" w:eastAsia="仿宋"/>
                <w:sz w:val="24"/>
              </w:rPr>
              <w:t>苏燕平</w:t>
            </w:r>
          </w:p>
        </w:tc>
        <w:tc>
          <w:tcPr>
            <w:tcW w:w="1843" w:type="dxa"/>
            <w:vAlign w:val="center"/>
          </w:tcPr>
          <w:p>
            <w:pPr>
              <w:widowControl/>
              <w:spacing w:line="360" w:lineRule="auto"/>
              <w:jc w:val="left"/>
              <w:rPr>
                <w:rFonts w:ascii="仿宋" w:hAnsi="仿宋" w:eastAsia="仿宋"/>
                <w:sz w:val="24"/>
              </w:rPr>
            </w:pPr>
            <w:r>
              <w:rPr>
                <w:rFonts w:hint="eastAsia" w:ascii="仿宋" w:hAnsi="仿宋" w:eastAsia="仿宋"/>
                <w:sz w:val="24"/>
              </w:rPr>
              <w:t>研发总监</w:t>
            </w:r>
          </w:p>
        </w:tc>
        <w:tc>
          <w:tcPr>
            <w:tcW w:w="2126" w:type="dxa"/>
            <w:vAlign w:val="center"/>
          </w:tcPr>
          <w:p>
            <w:pPr>
              <w:widowControl/>
              <w:spacing w:line="360" w:lineRule="auto"/>
              <w:jc w:val="left"/>
              <w:rPr>
                <w:rFonts w:ascii="仿宋" w:hAnsi="仿宋" w:eastAsia="仿宋"/>
                <w:sz w:val="24"/>
              </w:rPr>
            </w:pPr>
            <w:r>
              <w:rPr>
                <w:rFonts w:hint="eastAsia" w:ascii="仿宋" w:hAnsi="仿宋" w:eastAsia="仿宋"/>
                <w:sz w:val="24"/>
              </w:rPr>
              <w:t>江苏纳美达光电科技有限公司</w:t>
            </w:r>
          </w:p>
        </w:tc>
        <w:tc>
          <w:tcPr>
            <w:tcW w:w="2126" w:type="dxa"/>
            <w:vAlign w:val="center"/>
          </w:tcPr>
          <w:p>
            <w:pPr>
              <w:widowControl/>
              <w:spacing w:line="360" w:lineRule="auto"/>
              <w:jc w:val="left"/>
              <w:rPr>
                <w:rFonts w:ascii="仿宋" w:hAnsi="仿宋" w:eastAsia="仿宋"/>
                <w:sz w:val="24"/>
              </w:rPr>
            </w:pPr>
            <w:r>
              <w:rPr>
                <w:rFonts w:ascii="仿宋" w:hAnsi="仿宋" w:eastAsia="仿宋"/>
                <w:sz w:val="24"/>
              </w:rPr>
              <w:t>18632379736</w:t>
            </w:r>
          </w:p>
        </w:tc>
        <w:tc>
          <w:tcPr>
            <w:tcW w:w="2260" w:type="dxa"/>
            <w:vAlign w:val="center"/>
          </w:tcPr>
          <w:p>
            <w:pPr>
              <w:widowControl/>
              <w:spacing w:line="360" w:lineRule="auto"/>
              <w:jc w:val="left"/>
              <w:rPr>
                <w:rFonts w:ascii="仿宋" w:hAnsi="仿宋" w:eastAsia="仿宋"/>
                <w:sz w:val="24"/>
              </w:rPr>
            </w:pPr>
            <w:r>
              <w:rPr>
                <w:rFonts w:hint="eastAsia" w:ascii="仿宋" w:hAnsi="仿宋" w:eastAsia="仿宋"/>
                <w:sz w:val="24"/>
              </w:rPr>
              <w:t>技术论证</w:t>
            </w:r>
            <w:r>
              <w:rPr>
                <w:rFonts w:hint="eastAsia" w:ascii="仿宋" w:hAnsi="仿宋" w:eastAsia="仿宋"/>
                <w:color w:val="000000"/>
                <w:sz w:val="24"/>
              </w:rPr>
              <w:t>、内容核验</w:t>
            </w:r>
          </w:p>
        </w:tc>
      </w:tr>
    </w:tbl>
    <w:p>
      <w:pPr>
        <w:pStyle w:val="2"/>
        <w:spacing w:before="0" w:after="0" w:line="360" w:lineRule="auto"/>
        <w:rPr>
          <w:rFonts w:ascii="黑体" w:hAnsi="黑体" w:eastAsia="黑体"/>
          <w:sz w:val="28"/>
          <w:szCs w:val="28"/>
        </w:rPr>
      </w:pPr>
      <w:r>
        <w:rPr>
          <w:rFonts w:hint="eastAsia" w:ascii="黑体" w:hAnsi="黑体" w:eastAsia="黑体"/>
          <w:sz w:val="28"/>
          <w:szCs w:val="28"/>
        </w:rPr>
        <w:t>二、编制原则、主要内容及其确定依据</w:t>
      </w:r>
    </w:p>
    <w:p>
      <w:pPr>
        <w:spacing w:line="360" w:lineRule="auto"/>
        <w:jc w:val="center"/>
        <w:rPr>
          <w:rFonts w:ascii="黑体" w:hAnsi="黑体" w:eastAsia="黑体"/>
          <w:sz w:val="24"/>
        </w:rPr>
      </w:pPr>
      <w:r>
        <w:rPr>
          <w:rFonts w:hint="eastAsia" w:ascii="黑体" w:hAnsi="黑体" w:eastAsia="黑体"/>
          <w:sz w:val="24"/>
        </w:rPr>
        <w:t>表</w:t>
      </w:r>
      <w:r>
        <w:rPr>
          <w:rFonts w:ascii="黑体" w:hAnsi="黑体" w:eastAsia="黑体"/>
          <w:sz w:val="24"/>
        </w:rPr>
        <w:t>2 标准</w:t>
      </w:r>
      <w:r>
        <w:rPr>
          <w:rFonts w:hint="eastAsia" w:ascii="黑体" w:hAnsi="黑体" w:eastAsia="黑体"/>
          <w:sz w:val="24"/>
        </w:rPr>
        <w:t>编制原则和主要参考资料</w:t>
      </w:r>
    </w:p>
    <w:tbl>
      <w:tblPr>
        <w:tblStyle w:val="6"/>
        <w:tblW w:w="9781"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94"/>
        <w:gridCol w:w="70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2694" w:type="dxa"/>
            <w:vAlign w:val="center"/>
          </w:tcPr>
          <w:p>
            <w:pPr>
              <w:widowControl/>
              <w:spacing w:line="360" w:lineRule="auto"/>
              <w:jc w:val="center"/>
              <w:rPr>
                <w:rFonts w:ascii="仿宋" w:hAnsi="仿宋" w:eastAsia="仿宋"/>
                <w:b/>
                <w:sz w:val="24"/>
              </w:rPr>
            </w:pPr>
            <w:r>
              <w:rPr>
                <w:rFonts w:hint="eastAsia" w:ascii="仿宋" w:hAnsi="仿宋" w:eastAsia="仿宋"/>
                <w:b/>
                <w:sz w:val="24"/>
              </w:rPr>
              <w:t>标准中相应的部分</w:t>
            </w:r>
          </w:p>
        </w:tc>
        <w:tc>
          <w:tcPr>
            <w:tcW w:w="7087" w:type="dxa"/>
            <w:vAlign w:val="center"/>
          </w:tcPr>
          <w:p>
            <w:pPr>
              <w:widowControl/>
              <w:spacing w:line="360" w:lineRule="auto"/>
              <w:jc w:val="center"/>
              <w:rPr>
                <w:rFonts w:ascii="仿宋" w:hAnsi="仿宋" w:eastAsia="仿宋"/>
                <w:b/>
                <w:sz w:val="24"/>
              </w:rPr>
            </w:pPr>
            <w:r>
              <w:rPr>
                <w:rFonts w:hint="eastAsia" w:ascii="仿宋" w:hAnsi="仿宋" w:eastAsia="仿宋"/>
                <w:b/>
                <w:sz w:val="24"/>
              </w:rPr>
              <w:t>依据的标准或文献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2694" w:type="dxa"/>
            <w:vAlign w:val="center"/>
          </w:tcPr>
          <w:p>
            <w:pPr>
              <w:widowControl/>
              <w:spacing w:line="360" w:lineRule="auto"/>
              <w:jc w:val="center"/>
              <w:rPr>
                <w:rFonts w:ascii="仿宋" w:hAnsi="仿宋" w:eastAsia="仿宋"/>
                <w:sz w:val="24"/>
              </w:rPr>
            </w:pPr>
            <w:r>
              <w:rPr>
                <w:rFonts w:hint="eastAsia" w:ascii="仿宋" w:hAnsi="仿宋" w:eastAsia="仿宋"/>
                <w:sz w:val="24"/>
              </w:rPr>
              <w:t>标准的结构</w:t>
            </w:r>
          </w:p>
        </w:tc>
        <w:tc>
          <w:tcPr>
            <w:tcW w:w="7087" w:type="dxa"/>
            <w:vAlign w:val="center"/>
          </w:tcPr>
          <w:p>
            <w:pPr>
              <w:widowControl/>
              <w:spacing w:line="360" w:lineRule="auto"/>
              <w:rPr>
                <w:rFonts w:ascii="仿宋" w:hAnsi="仿宋" w:eastAsia="仿宋"/>
                <w:sz w:val="24"/>
              </w:rPr>
            </w:pPr>
            <w:r>
              <w:rPr>
                <w:rFonts w:hint="eastAsia" w:ascii="仿宋" w:hAnsi="仿宋" w:eastAsia="仿宋"/>
                <w:sz w:val="24"/>
              </w:rPr>
              <w:t>GB/T 1.1—2020 标准化工作导则　第1部分：标准化文件的结构和起草规则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2694" w:type="dxa"/>
            <w:vAlign w:val="center"/>
          </w:tcPr>
          <w:p>
            <w:pPr>
              <w:widowControl/>
              <w:spacing w:line="360" w:lineRule="auto"/>
              <w:jc w:val="center"/>
              <w:rPr>
                <w:rFonts w:ascii="仿宋" w:hAnsi="仿宋" w:eastAsia="仿宋"/>
                <w:sz w:val="24"/>
              </w:rPr>
            </w:pPr>
            <w:r>
              <w:rPr>
                <w:rFonts w:hint="eastAsia" w:ascii="仿宋" w:hAnsi="仿宋" w:eastAsia="仿宋"/>
                <w:sz w:val="24"/>
              </w:rPr>
              <w:t>“术语与定义”的编写</w:t>
            </w:r>
          </w:p>
        </w:tc>
        <w:tc>
          <w:tcPr>
            <w:tcW w:w="7087" w:type="dxa"/>
            <w:vAlign w:val="center"/>
          </w:tcPr>
          <w:p>
            <w:pPr>
              <w:widowControl/>
              <w:spacing w:line="360" w:lineRule="auto"/>
              <w:rPr>
                <w:rFonts w:ascii="仿宋" w:hAnsi="仿宋" w:eastAsia="仿宋"/>
                <w:sz w:val="24"/>
              </w:rPr>
            </w:pPr>
            <w:r>
              <w:rPr>
                <w:rFonts w:hint="eastAsia" w:ascii="仿宋" w:hAnsi="仿宋" w:eastAsia="仿宋"/>
                <w:sz w:val="24"/>
              </w:rPr>
              <w:t>GB/T 20001.1</w:t>
            </w:r>
            <w:r>
              <w:rPr>
                <w:rFonts w:ascii="仿宋" w:hAnsi="仿宋" w:eastAsia="仿宋"/>
                <w:sz w:val="24"/>
              </w:rPr>
              <w:t>—</w:t>
            </w:r>
            <w:r>
              <w:rPr>
                <w:rFonts w:hint="eastAsia" w:ascii="仿宋" w:hAnsi="仿宋" w:eastAsia="仿宋"/>
                <w:sz w:val="24"/>
              </w:rPr>
              <w:t>2015 标准编写规则 第1部分：术语标准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2694" w:type="dxa"/>
            <w:vAlign w:val="center"/>
          </w:tcPr>
          <w:p>
            <w:pPr>
              <w:widowControl/>
              <w:spacing w:line="360" w:lineRule="auto"/>
              <w:jc w:val="center"/>
              <w:rPr>
                <w:rFonts w:ascii="仿宋" w:hAnsi="仿宋" w:eastAsia="仿宋"/>
                <w:sz w:val="24"/>
              </w:rPr>
            </w:pPr>
            <w:r>
              <w:rPr>
                <w:rFonts w:hint="eastAsia" w:ascii="仿宋" w:hAnsi="仿宋" w:eastAsia="仿宋"/>
                <w:sz w:val="24"/>
              </w:rPr>
              <w:t>“术语与定义”的节选</w:t>
            </w:r>
          </w:p>
        </w:tc>
        <w:tc>
          <w:tcPr>
            <w:tcW w:w="7087" w:type="dxa"/>
            <w:vAlign w:val="center"/>
          </w:tcPr>
          <w:p>
            <w:pPr>
              <w:widowControl/>
              <w:spacing w:line="360" w:lineRule="auto"/>
              <w:rPr>
                <w:rFonts w:ascii="仿宋" w:hAnsi="仿宋" w:eastAsia="仿宋"/>
                <w:sz w:val="24"/>
              </w:rPr>
            </w:pPr>
            <w:r>
              <w:rPr>
                <w:rFonts w:ascii="仿宋" w:hAnsi="仿宋" w:eastAsia="仿宋"/>
                <w:sz w:val="24"/>
              </w:rPr>
              <w:t>GB/T 2410—2008</w:t>
            </w:r>
            <w:r>
              <w:rPr>
                <w:rFonts w:hint="eastAsia" w:ascii="仿宋" w:hAnsi="仿宋" w:eastAsia="仿宋"/>
                <w:sz w:val="24"/>
              </w:rPr>
              <w:t xml:space="preserve"> 透明塑料透光率和雾度的测定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28" w:hRule="atLeast"/>
        </w:trPr>
        <w:tc>
          <w:tcPr>
            <w:tcW w:w="2694" w:type="dxa"/>
            <w:vAlign w:val="center"/>
          </w:tcPr>
          <w:p>
            <w:pPr>
              <w:widowControl/>
              <w:spacing w:line="360" w:lineRule="auto"/>
              <w:jc w:val="center"/>
              <w:rPr>
                <w:rFonts w:ascii="仿宋" w:hAnsi="仿宋" w:eastAsia="仿宋"/>
                <w:sz w:val="24"/>
              </w:rPr>
            </w:pPr>
            <w:r>
              <w:rPr>
                <w:rFonts w:hint="eastAsia" w:ascii="仿宋" w:hAnsi="仿宋" w:eastAsia="仿宋"/>
                <w:sz w:val="24"/>
              </w:rPr>
              <w:t>标准的规范性引用文件</w:t>
            </w:r>
          </w:p>
        </w:tc>
        <w:tc>
          <w:tcPr>
            <w:tcW w:w="7087" w:type="dxa"/>
            <w:vAlign w:val="center"/>
          </w:tcPr>
          <w:p>
            <w:pPr>
              <w:widowControl/>
              <w:spacing w:line="360" w:lineRule="auto"/>
              <w:rPr>
                <w:rFonts w:ascii="仿宋" w:hAnsi="仿宋" w:eastAsia="仿宋"/>
                <w:sz w:val="24"/>
              </w:rPr>
            </w:pPr>
            <w:r>
              <w:rPr>
                <w:rFonts w:hint="eastAsia" w:ascii="仿宋" w:hAnsi="仿宋" w:eastAsia="仿宋"/>
                <w:sz w:val="24"/>
              </w:rPr>
              <w:t>GB 4943.1 音视频信息技术和通信技术设备 第1部分：安全要求(GB 4943.1—2022，IEC 62368-1:2018，MOD)</w:t>
            </w:r>
          </w:p>
          <w:p>
            <w:pPr>
              <w:widowControl/>
              <w:spacing w:line="360" w:lineRule="auto"/>
              <w:rPr>
                <w:rFonts w:ascii="仿宋" w:hAnsi="仿宋" w:eastAsia="仿宋"/>
                <w:sz w:val="24"/>
              </w:rPr>
            </w:pPr>
            <w:r>
              <w:rPr>
                <w:rFonts w:hint="eastAsia" w:ascii="仿宋" w:hAnsi="仿宋" w:eastAsia="仿宋"/>
                <w:sz w:val="24"/>
              </w:rPr>
              <w:t>GB/T 2828.1 计数抽样检验程序 第1部分：按接收质量限(AQL)检索的逐批检验抽样计划(GB/T 2828.1—2012，ISO 2859-1:1999，IDT)</w:t>
            </w:r>
          </w:p>
          <w:p>
            <w:pPr>
              <w:widowControl/>
              <w:spacing w:line="360" w:lineRule="auto"/>
              <w:rPr>
                <w:rFonts w:ascii="仿宋" w:hAnsi="仿宋" w:eastAsia="仿宋"/>
                <w:sz w:val="24"/>
              </w:rPr>
            </w:pPr>
            <w:r>
              <w:rPr>
                <w:rFonts w:hint="eastAsia" w:ascii="仿宋" w:hAnsi="仿宋" w:eastAsia="仿宋"/>
                <w:sz w:val="24"/>
              </w:rPr>
              <w:t>GB/T 26125 电子电气产品 六种限用物质（铅、汞、镉、六价铬、多溴联苯和多溴二苯醚）的测定(GB/T 26125—2011，IEC 62321:2008，IDT)</w:t>
            </w:r>
          </w:p>
          <w:p>
            <w:pPr>
              <w:widowControl/>
              <w:spacing w:line="360" w:lineRule="auto"/>
              <w:rPr>
                <w:rFonts w:ascii="仿宋" w:hAnsi="仿宋" w:eastAsia="仿宋"/>
                <w:sz w:val="24"/>
              </w:rPr>
            </w:pPr>
            <w:r>
              <w:rPr>
                <w:rFonts w:hint="eastAsia" w:ascii="仿宋" w:hAnsi="仿宋" w:eastAsia="仿宋"/>
                <w:sz w:val="24"/>
              </w:rPr>
              <w:t xml:space="preserve">GB/T 29786 </w:t>
            </w:r>
            <w:r>
              <w:rPr>
                <w:rFonts w:hint="eastAsia" w:ascii="仿宋" w:hAnsi="仿宋" w:eastAsia="仿宋"/>
                <w:sz w:val="24"/>
              </w:rPr>
              <w:tab/>
            </w:r>
            <w:r>
              <w:rPr>
                <w:rFonts w:hint="eastAsia" w:ascii="仿宋" w:hAnsi="仿宋" w:eastAsia="仿宋"/>
                <w:sz w:val="24"/>
              </w:rPr>
              <w:t>电子电气产品中邻苯二甲酸酯的测定 气相色谱-质谱联用法</w:t>
            </w:r>
          </w:p>
          <w:p>
            <w:pPr>
              <w:widowControl/>
              <w:spacing w:line="360" w:lineRule="auto"/>
              <w:rPr>
                <w:rFonts w:ascii="仿宋" w:hAnsi="仿宋" w:eastAsia="仿宋"/>
                <w:sz w:val="24"/>
              </w:rPr>
            </w:pPr>
            <w:r>
              <w:rPr>
                <w:rFonts w:hint="eastAsia" w:ascii="仿宋" w:hAnsi="仿宋" w:eastAsia="仿宋"/>
                <w:sz w:val="24"/>
              </w:rPr>
              <w:t>GB/T 37861 电子电气产品中卤素含量的测定 离子色谱法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2694" w:type="dxa"/>
            <w:vAlign w:val="center"/>
          </w:tcPr>
          <w:p>
            <w:pPr>
              <w:widowControl/>
              <w:spacing w:line="360" w:lineRule="auto"/>
              <w:jc w:val="center"/>
              <w:rPr>
                <w:rFonts w:ascii="仿宋" w:hAnsi="仿宋" w:eastAsia="仿宋"/>
                <w:sz w:val="24"/>
              </w:rPr>
            </w:pPr>
            <w:r>
              <w:rPr>
                <w:rFonts w:hint="eastAsia" w:ascii="仿宋" w:hAnsi="仿宋" w:eastAsia="仿宋"/>
                <w:sz w:val="24"/>
              </w:rPr>
              <w:t>“参考文献”的编写</w:t>
            </w:r>
          </w:p>
        </w:tc>
        <w:tc>
          <w:tcPr>
            <w:tcW w:w="7087" w:type="dxa"/>
            <w:vAlign w:val="center"/>
          </w:tcPr>
          <w:p>
            <w:pPr>
              <w:widowControl/>
              <w:spacing w:line="360" w:lineRule="auto"/>
              <w:rPr>
                <w:rFonts w:ascii="仿宋" w:hAnsi="仿宋" w:eastAsia="仿宋"/>
                <w:sz w:val="24"/>
              </w:rPr>
            </w:pPr>
            <w:r>
              <w:rPr>
                <w:rFonts w:hint="eastAsia" w:ascii="仿宋" w:hAnsi="仿宋" w:eastAsia="仿宋"/>
                <w:sz w:val="24"/>
              </w:rPr>
              <w:t>GB/T 7714—2005 文后参考文献著录规则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2694" w:type="dxa"/>
            <w:vAlign w:val="center"/>
          </w:tcPr>
          <w:p>
            <w:pPr>
              <w:widowControl/>
              <w:spacing w:line="360" w:lineRule="auto"/>
              <w:jc w:val="center"/>
              <w:rPr>
                <w:rFonts w:ascii="仿宋" w:hAnsi="仿宋" w:eastAsia="仿宋"/>
                <w:sz w:val="24"/>
              </w:rPr>
            </w:pPr>
            <w:r>
              <w:rPr>
                <w:rFonts w:hint="eastAsia" w:ascii="仿宋" w:hAnsi="仿宋" w:eastAsia="仿宋"/>
                <w:sz w:val="24"/>
              </w:rPr>
              <w:t>标准的参考文献</w:t>
            </w:r>
          </w:p>
        </w:tc>
        <w:tc>
          <w:tcPr>
            <w:tcW w:w="7087" w:type="dxa"/>
            <w:vAlign w:val="center"/>
          </w:tcPr>
          <w:p>
            <w:pPr>
              <w:widowControl/>
              <w:spacing w:line="360" w:lineRule="auto"/>
              <w:rPr>
                <w:rFonts w:ascii="仿宋" w:hAnsi="仿宋" w:eastAsia="仿宋"/>
                <w:sz w:val="24"/>
              </w:rPr>
            </w:pPr>
            <w:r>
              <w:rPr>
                <w:rFonts w:hint="eastAsia" w:ascii="仿宋" w:hAnsi="仿宋" w:eastAsia="仿宋"/>
                <w:sz w:val="24"/>
              </w:rPr>
              <w:t>GB/T 191—2008 包装储运图示标志</w:t>
            </w:r>
          </w:p>
          <w:p>
            <w:pPr>
              <w:widowControl/>
              <w:spacing w:line="360" w:lineRule="auto"/>
              <w:rPr>
                <w:rFonts w:ascii="仿宋" w:hAnsi="仿宋" w:eastAsia="仿宋"/>
                <w:sz w:val="24"/>
              </w:rPr>
            </w:pPr>
            <w:r>
              <w:rPr>
                <w:rFonts w:hint="eastAsia" w:ascii="仿宋" w:hAnsi="仿宋" w:eastAsia="仿宋"/>
                <w:sz w:val="24"/>
              </w:rPr>
              <w:t>GB/T 2410—2008 透明塑料透光率和雾度的测定</w:t>
            </w:r>
          </w:p>
          <w:p>
            <w:pPr>
              <w:widowControl/>
              <w:spacing w:line="360" w:lineRule="auto"/>
              <w:rPr>
                <w:rFonts w:ascii="仿宋" w:hAnsi="仿宋" w:eastAsia="仿宋"/>
                <w:sz w:val="24"/>
              </w:rPr>
            </w:pPr>
            <w:r>
              <w:rPr>
                <w:rFonts w:hint="eastAsia" w:ascii="仿宋" w:hAnsi="仿宋" w:eastAsia="仿宋"/>
                <w:sz w:val="24"/>
              </w:rPr>
              <w:t>GB/T 2423.1—2008 电工电子产品环境试验 第2部分：试验方法 试验A：低温</w:t>
            </w:r>
          </w:p>
          <w:p>
            <w:pPr>
              <w:widowControl/>
              <w:spacing w:line="360" w:lineRule="auto"/>
              <w:rPr>
                <w:rFonts w:ascii="仿宋" w:hAnsi="仿宋" w:eastAsia="仿宋"/>
                <w:sz w:val="24"/>
              </w:rPr>
            </w:pPr>
            <w:r>
              <w:rPr>
                <w:rFonts w:hint="eastAsia" w:ascii="仿宋" w:hAnsi="仿宋" w:eastAsia="仿宋"/>
                <w:sz w:val="24"/>
              </w:rPr>
              <w:t>GB/T 2423.2—2008 电工电子产品环境试验 第2部分：试验方法 试验B：高温</w:t>
            </w:r>
          </w:p>
          <w:p>
            <w:pPr>
              <w:widowControl/>
              <w:spacing w:line="360" w:lineRule="auto"/>
              <w:rPr>
                <w:rFonts w:ascii="仿宋" w:hAnsi="仿宋" w:eastAsia="仿宋"/>
                <w:sz w:val="24"/>
              </w:rPr>
            </w:pPr>
            <w:r>
              <w:rPr>
                <w:rFonts w:hint="eastAsia" w:ascii="仿宋" w:hAnsi="仿宋" w:eastAsia="仿宋"/>
                <w:sz w:val="24"/>
              </w:rPr>
              <w:t>GB/T 2423.3—2016 环境试验 第2部分：试验方法 试验Cab：恒定湿热试验</w:t>
            </w:r>
          </w:p>
          <w:p>
            <w:pPr>
              <w:widowControl/>
              <w:spacing w:line="360" w:lineRule="auto"/>
              <w:rPr>
                <w:rFonts w:ascii="仿宋" w:hAnsi="仿宋" w:eastAsia="仿宋"/>
                <w:sz w:val="24"/>
              </w:rPr>
            </w:pPr>
            <w:r>
              <w:rPr>
                <w:rFonts w:hint="eastAsia" w:ascii="仿宋" w:hAnsi="仿宋" w:eastAsia="仿宋"/>
                <w:sz w:val="24"/>
              </w:rPr>
              <w:t>GB/T 2423.17—2008 电工电子产品环境试验 第2部分：试验方法 试验Ka：盐雾</w:t>
            </w:r>
          </w:p>
          <w:p>
            <w:pPr>
              <w:widowControl/>
              <w:spacing w:line="360" w:lineRule="auto"/>
              <w:rPr>
                <w:rFonts w:ascii="仿宋" w:hAnsi="仿宋" w:eastAsia="仿宋"/>
                <w:sz w:val="24"/>
              </w:rPr>
            </w:pPr>
            <w:r>
              <w:rPr>
                <w:rFonts w:hint="eastAsia" w:ascii="仿宋" w:hAnsi="仿宋" w:eastAsia="仿宋"/>
                <w:sz w:val="24"/>
              </w:rPr>
              <w:t>GB/T 2423.22—2012 环境试验 第2部分：试验方法 试验N：温度变化</w:t>
            </w:r>
          </w:p>
          <w:p>
            <w:pPr>
              <w:widowControl/>
              <w:spacing w:line="360" w:lineRule="auto"/>
              <w:rPr>
                <w:rFonts w:ascii="仿宋" w:hAnsi="仿宋" w:eastAsia="仿宋"/>
                <w:sz w:val="24"/>
              </w:rPr>
            </w:pPr>
            <w:r>
              <w:rPr>
                <w:rFonts w:hint="eastAsia" w:ascii="仿宋" w:hAnsi="仿宋" w:eastAsia="仿宋"/>
                <w:sz w:val="24"/>
              </w:rPr>
              <w:t>GB/T 2423.24—2022 环境试验 第2部分：试验方法 试验S：模拟地面上的太阳辐射及太阳辐射试验和气候老化试验导则</w:t>
            </w:r>
          </w:p>
          <w:p>
            <w:pPr>
              <w:widowControl/>
              <w:spacing w:line="360" w:lineRule="auto"/>
              <w:rPr>
                <w:rFonts w:ascii="仿宋" w:hAnsi="仿宋" w:eastAsia="仿宋"/>
                <w:sz w:val="24"/>
              </w:rPr>
            </w:pPr>
            <w:r>
              <w:rPr>
                <w:rFonts w:hint="eastAsia" w:ascii="仿宋" w:hAnsi="仿宋" w:eastAsia="仿宋"/>
                <w:sz w:val="24"/>
              </w:rPr>
              <w:t>GB/T 5698—2001 颜色术语</w:t>
            </w:r>
          </w:p>
          <w:p>
            <w:pPr>
              <w:widowControl/>
              <w:spacing w:line="360" w:lineRule="auto"/>
              <w:rPr>
                <w:rFonts w:ascii="仿宋" w:hAnsi="仿宋" w:eastAsia="仿宋"/>
                <w:sz w:val="24"/>
              </w:rPr>
            </w:pPr>
            <w:r>
              <w:rPr>
                <w:rFonts w:hint="eastAsia" w:ascii="仿宋" w:hAnsi="仿宋" w:eastAsia="仿宋"/>
                <w:sz w:val="24"/>
              </w:rPr>
              <w:t>GB/T 9278—2008 涂料试样状态调节和试验的温湿度</w:t>
            </w:r>
          </w:p>
          <w:p>
            <w:pPr>
              <w:widowControl/>
              <w:spacing w:line="360" w:lineRule="auto"/>
              <w:rPr>
                <w:rFonts w:ascii="仿宋" w:hAnsi="仿宋" w:eastAsia="仿宋"/>
                <w:sz w:val="24"/>
              </w:rPr>
            </w:pPr>
            <w:r>
              <w:rPr>
                <w:rFonts w:hint="eastAsia" w:ascii="仿宋" w:hAnsi="仿宋" w:eastAsia="仿宋"/>
                <w:sz w:val="24"/>
              </w:rPr>
              <w:t>GB/T 9969—2008 工业产品使用说明书 总则</w:t>
            </w:r>
          </w:p>
          <w:p>
            <w:pPr>
              <w:widowControl/>
              <w:spacing w:line="360" w:lineRule="auto"/>
              <w:rPr>
                <w:rFonts w:ascii="仿宋" w:hAnsi="仿宋" w:eastAsia="仿宋"/>
                <w:sz w:val="24"/>
              </w:rPr>
            </w:pPr>
            <w:r>
              <w:rPr>
                <w:rFonts w:hint="eastAsia" w:ascii="仿宋" w:hAnsi="仿宋" w:eastAsia="仿宋"/>
                <w:sz w:val="24"/>
              </w:rPr>
              <w:t>GB/T 17626.2—2018 电磁兼容 试验和测量技术 静电放电抗扰度试验</w:t>
            </w:r>
          </w:p>
          <w:p>
            <w:pPr>
              <w:widowControl/>
              <w:spacing w:line="360" w:lineRule="auto"/>
              <w:rPr>
                <w:rFonts w:ascii="仿宋" w:hAnsi="仿宋" w:eastAsia="仿宋"/>
                <w:sz w:val="24"/>
              </w:rPr>
            </w:pPr>
            <w:r>
              <w:rPr>
                <w:rFonts w:hint="eastAsia" w:ascii="仿宋" w:hAnsi="仿宋" w:eastAsia="仿宋"/>
                <w:sz w:val="24"/>
              </w:rPr>
              <w:t>GB/T 26572—2011 电子电气产品中限用物质的限量要求</w:t>
            </w:r>
          </w:p>
          <w:p>
            <w:pPr>
              <w:widowControl/>
              <w:spacing w:line="360" w:lineRule="auto"/>
              <w:rPr>
                <w:rFonts w:ascii="仿宋" w:hAnsi="仿宋" w:eastAsia="仿宋"/>
                <w:sz w:val="24"/>
              </w:rPr>
            </w:pPr>
            <w:r>
              <w:rPr>
                <w:rFonts w:hint="eastAsia" w:ascii="仿宋" w:hAnsi="仿宋" w:eastAsia="仿宋"/>
                <w:sz w:val="24"/>
              </w:rPr>
              <w:t>GB/T 30544.1—2014 纳米科技 术语 第1部分：核心术语</w:t>
            </w:r>
          </w:p>
          <w:p>
            <w:pPr>
              <w:widowControl/>
              <w:spacing w:line="360" w:lineRule="auto"/>
              <w:jc w:val="left"/>
              <w:rPr>
                <w:rFonts w:ascii="仿宋" w:hAnsi="仿宋" w:eastAsia="仿宋"/>
                <w:sz w:val="24"/>
              </w:rPr>
            </w:pPr>
            <w:r>
              <w:rPr>
                <w:rFonts w:hint="eastAsia" w:ascii="仿宋" w:hAnsi="仿宋" w:eastAsia="仿宋"/>
                <w:sz w:val="24"/>
              </w:rPr>
              <w:t>GB/T 37876—2019 电子电气产品有害物质限制使用符合性评价通则</w:t>
            </w:r>
          </w:p>
        </w:tc>
      </w:tr>
    </w:tbl>
    <w:p>
      <w:pPr>
        <w:pStyle w:val="2"/>
        <w:spacing w:before="0" w:after="0" w:line="360" w:lineRule="auto"/>
        <w:rPr>
          <w:rFonts w:ascii="黑体" w:hAnsi="黑体" w:eastAsia="黑体"/>
          <w:sz w:val="28"/>
          <w:szCs w:val="28"/>
        </w:rPr>
      </w:pPr>
      <w:r>
        <w:rPr>
          <w:rFonts w:hint="eastAsia" w:ascii="黑体" w:hAnsi="黑体" w:eastAsia="黑体"/>
          <w:sz w:val="28"/>
          <w:szCs w:val="28"/>
        </w:rPr>
        <w:t>三、</w:t>
      </w:r>
      <w:r>
        <w:rPr>
          <w:rFonts w:ascii="黑体" w:hAnsi="黑体" w:eastAsia="黑体" w:cs="仿宋_GB2312"/>
          <w:color w:val="000000"/>
          <w:kern w:val="0"/>
          <w:sz w:val="28"/>
          <w:szCs w:val="28"/>
          <w:lang w:bidi="ar"/>
        </w:rPr>
        <w:t>标准涉及的相关知识产权说明</w:t>
      </w:r>
    </w:p>
    <w:p>
      <w:pPr>
        <w:tabs>
          <w:tab w:val="left" w:pos="1320"/>
        </w:tabs>
        <w:spacing w:line="360" w:lineRule="auto"/>
        <w:ind w:firstLine="480" w:firstLineChars="200"/>
        <w:rPr>
          <w:rFonts w:ascii="仿宋" w:hAnsi="仿宋" w:eastAsia="仿宋"/>
          <w:sz w:val="24"/>
        </w:rPr>
      </w:pPr>
      <w:r>
        <w:rPr>
          <w:rFonts w:hint="eastAsia" w:ascii="仿宋" w:hAnsi="仿宋" w:eastAsia="仿宋"/>
          <w:sz w:val="24"/>
        </w:rPr>
        <w:t>如发现与本标准相关的专利，请审阅人将相关专利信息随征求意见稿、送审稿、报批稿一道提交给主要起草单位和起草人。</w:t>
      </w:r>
    </w:p>
    <w:p>
      <w:pPr>
        <w:pStyle w:val="2"/>
        <w:spacing w:before="0" w:after="0" w:line="360" w:lineRule="auto"/>
        <w:ind w:firstLine="480" w:firstLineChars="200"/>
        <w:rPr>
          <w:rFonts w:ascii="黑体" w:hAnsi="黑体" w:eastAsia="黑体"/>
          <w:b w:val="0"/>
          <w:bCs w:val="0"/>
          <w:sz w:val="24"/>
          <w:szCs w:val="24"/>
        </w:rPr>
      </w:pPr>
      <w:r>
        <w:rPr>
          <w:rFonts w:hint="eastAsia" w:ascii="仿宋" w:hAnsi="仿宋" w:eastAsia="仿宋"/>
          <w:b w:val="0"/>
          <w:bCs w:val="0"/>
          <w:sz w:val="24"/>
          <w:szCs w:val="24"/>
        </w:rPr>
        <w:t>本标准颁布机构不承担与本标准相关的任何专利文献检索与识别专利的责任，如审阅人发现与本标准相关的任何专利信息，请随征求意见稿、送审稿、报批稿一并提交给本标准颁布机构。如需要查询与本标准相关的专利信息，请直接与专利权人联系。</w:t>
      </w:r>
    </w:p>
    <w:p>
      <w:pPr>
        <w:pStyle w:val="2"/>
        <w:spacing w:line="360" w:lineRule="auto"/>
        <w:rPr>
          <w:rFonts w:ascii="黑体" w:hAnsi="黑体" w:eastAsia="黑体"/>
          <w:sz w:val="28"/>
          <w:szCs w:val="28"/>
        </w:rPr>
      </w:pPr>
      <w:bookmarkStart w:id="0" w:name="_Hlk106088777"/>
      <w:r>
        <w:rPr>
          <w:rFonts w:hint="eastAsia" w:ascii="黑体" w:hAnsi="黑体" w:eastAsia="黑体"/>
          <w:sz w:val="28"/>
          <w:szCs w:val="28"/>
        </w:rPr>
        <w:t>四、采用国际标准的程度及水平，与现行有关法律法规和强制性标准的关系</w:t>
      </w:r>
    </w:p>
    <w:p>
      <w:pPr>
        <w:pStyle w:val="2"/>
        <w:spacing w:before="0" w:after="0" w:line="360" w:lineRule="auto"/>
        <w:ind w:firstLine="480" w:firstLineChars="200"/>
        <w:rPr>
          <w:rFonts w:ascii="仿宋" w:hAnsi="仿宋" w:eastAsia="仿宋" w:cs="Times New Roman"/>
          <w:b w:val="0"/>
          <w:bCs w:val="0"/>
          <w:sz w:val="24"/>
          <w:szCs w:val="24"/>
        </w:rPr>
      </w:pPr>
      <w:r>
        <w:rPr>
          <w:rFonts w:hint="eastAsia" w:ascii="仿宋" w:hAnsi="仿宋" w:eastAsia="仿宋" w:cs="Times New Roman"/>
          <w:b w:val="0"/>
          <w:bCs w:val="0"/>
          <w:sz w:val="24"/>
          <w:szCs w:val="24"/>
        </w:rPr>
        <w:t>针对基于纳米银线透明电极的电容式触摸屏，国际、国外尚无相关技术要求和检测方法，因此未采用国际国外标准。</w:t>
      </w:r>
      <w:bookmarkEnd w:id="0"/>
    </w:p>
    <w:p>
      <w:pPr>
        <w:tabs>
          <w:tab w:val="left" w:pos="1320"/>
        </w:tabs>
        <w:spacing w:line="360" w:lineRule="auto"/>
        <w:ind w:firstLine="480" w:firstLineChars="200"/>
        <w:rPr>
          <w:rFonts w:ascii="仿宋" w:hAnsi="仿宋" w:eastAsia="仿宋"/>
          <w:sz w:val="24"/>
        </w:rPr>
      </w:pPr>
      <w:r>
        <w:rPr>
          <w:rFonts w:hint="eastAsia" w:ascii="仿宋" w:hAnsi="仿宋" w:eastAsia="仿宋"/>
          <w:sz w:val="24"/>
        </w:rPr>
        <w:t>本标准编制格式符合</w:t>
      </w:r>
      <w:r>
        <w:rPr>
          <w:rFonts w:ascii="仿宋" w:hAnsi="仿宋" w:eastAsia="仿宋"/>
          <w:sz w:val="24"/>
        </w:rPr>
        <w:t>GB/T 1.1—2020</w:t>
      </w:r>
      <w:r>
        <w:rPr>
          <w:rFonts w:hint="eastAsia" w:ascii="仿宋" w:hAnsi="仿宋" w:eastAsia="仿宋"/>
          <w:sz w:val="24"/>
        </w:rPr>
        <w:t>《标准化工作导则</w:t>
      </w:r>
      <w:r>
        <w:rPr>
          <w:rFonts w:ascii="仿宋" w:hAnsi="仿宋" w:eastAsia="仿宋"/>
          <w:sz w:val="24"/>
        </w:rPr>
        <w:t xml:space="preserve"> </w:t>
      </w:r>
      <w:r>
        <w:rPr>
          <w:rFonts w:hint="eastAsia" w:ascii="仿宋" w:hAnsi="仿宋" w:eastAsia="仿宋"/>
          <w:sz w:val="24"/>
        </w:rPr>
        <w:t>第</w:t>
      </w:r>
      <w:r>
        <w:rPr>
          <w:rFonts w:ascii="仿宋" w:hAnsi="仿宋" w:eastAsia="仿宋"/>
          <w:sz w:val="24"/>
        </w:rPr>
        <w:t>1</w:t>
      </w:r>
      <w:r>
        <w:rPr>
          <w:rFonts w:hint="eastAsia" w:ascii="仿宋" w:hAnsi="仿宋" w:eastAsia="仿宋"/>
          <w:sz w:val="24"/>
        </w:rPr>
        <w:t>部分：标准化文本的结构与起草规则》。</w:t>
      </w:r>
      <w:r>
        <w:rPr>
          <w:rFonts w:ascii="仿宋" w:hAnsi="仿宋" w:eastAsia="仿宋"/>
          <w:sz w:val="24"/>
        </w:rPr>
        <w:t xml:space="preserve"> </w:t>
      </w:r>
    </w:p>
    <w:p>
      <w:pPr>
        <w:tabs>
          <w:tab w:val="left" w:pos="1320"/>
        </w:tabs>
        <w:spacing w:line="360" w:lineRule="auto"/>
        <w:ind w:firstLine="480" w:firstLineChars="200"/>
        <w:rPr>
          <w:rFonts w:ascii="仿宋" w:hAnsi="仿宋" w:eastAsia="仿宋"/>
          <w:sz w:val="24"/>
        </w:rPr>
      </w:pPr>
      <w:r>
        <w:rPr>
          <w:rFonts w:hint="eastAsia" w:ascii="仿宋" w:hAnsi="仿宋" w:eastAsia="仿宋"/>
          <w:sz w:val="24"/>
        </w:rPr>
        <w:t>本标准与我国现行的法律、行政法规和其它强制性标准没有冲突。</w:t>
      </w:r>
    </w:p>
    <w:p>
      <w:pPr>
        <w:shd w:val="clear" w:color="auto" w:fill="FFFFFF"/>
        <w:spacing w:line="360" w:lineRule="auto"/>
        <w:ind w:firstLine="480" w:firstLineChars="200"/>
        <w:rPr>
          <w:rFonts w:ascii="仿宋" w:hAnsi="仿宋" w:eastAsia="仿宋"/>
          <w:sz w:val="24"/>
        </w:rPr>
      </w:pPr>
      <w:r>
        <w:rPr>
          <w:rFonts w:hint="eastAsia" w:ascii="仿宋" w:hAnsi="仿宋" w:eastAsia="仿宋"/>
          <w:bCs/>
          <w:sz w:val="24"/>
        </w:rPr>
        <w:t>建议本标准作为自主制定的推荐性团体标准。</w:t>
      </w:r>
    </w:p>
    <w:p>
      <w:pPr>
        <w:pStyle w:val="2"/>
        <w:spacing w:before="0" w:after="0" w:line="360" w:lineRule="auto"/>
        <w:rPr>
          <w:rFonts w:ascii="黑体" w:hAnsi="黑体" w:eastAsia="黑体"/>
          <w:sz w:val="28"/>
          <w:szCs w:val="28"/>
        </w:rPr>
      </w:pPr>
      <w:r>
        <w:rPr>
          <w:rFonts w:hint="eastAsia" w:ascii="黑体" w:hAnsi="黑体" w:eastAsia="黑体"/>
          <w:sz w:val="28"/>
          <w:szCs w:val="28"/>
        </w:rPr>
        <w:t>五、重大分歧意见的处理经过和依据</w:t>
      </w:r>
    </w:p>
    <w:p>
      <w:pPr>
        <w:tabs>
          <w:tab w:val="left" w:pos="1320"/>
        </w:tabs>
        <w:spacing w:line="360" w:lineRule="auto"/>
        <w:ind w:firstLine="480" w:firstLineChars="200"/>
      </w:pPr>
      <w:r>
        <w:rPr>
          <w:rFonts w:hint="eastAsia" w:ascii="仿宋" w:hAnsi="仿宋" w:eastAsia="仿宋"/>
          <w:sz w:val="24"/>
        </w:rPr>
        <w:t>暂无。</w:t>
      </w:r>
    </w:p>
    <w:p>
      <w:pPr>
        <w:pStyle w:val="2"/>
        <w:spacing w:before="0" w:after="0" w:line="360" w:lineRule="auto"/>
        <w:rPr>
          <w:rFonts w:ascii="黑体" w:hAnsi="黑体" w:eastAsia="黑体"/>
          <w:sz w:val="28"/>
          <w:szCs w:val="28"/>
        </w:rPr>
      </w:pPr>
      <w:r>
        <w:rPr>
          <w:rFonts w:hint="eastAsia" w:ascii="黑体" w:hAnsi="黑体" w:eastAsia="黑体"/>
          <w:sz w:val="28"/>
          <w:szCs w:val="28"/>
        </w:rPr>
        <w:t>六、其它应予说明的事项</w:t>
      </w:r>
    </w:p>
    <w:p>
      <w:pPr>
        <w:tabs>
          <w:tab w:val="left" w:pos="1320"/>
        </w:tabs>
        <w:spacing w:line="360" w:lineRule="auto"/>
        <w:ind w:firstLine="480" w:firstLineChars="200"/>
        <w:rPr>
          <w:rFonts w:ascii="仿宋" w:hAnsi="仿宋" w:eastAsia="仿宋"/>
          <w:szCs w:val="21"/>
        </w:rPr>
      </w:pPr>
      <w:r>
        <w:rPr>
          <w:rFonts w:hint="eastAsia" w:ascii="仿宋" w:hAnsi="仿宋" w:eastAsia="仿宋"/>
          <w:sz w:val="24"/>
        </w:rPr>
        <w:t>暂无。</w:t>
      </w:r>
    </w:p>
    <w:p/>
    <w:sectPr>
      <w:footerReference r:id="rId3" w:type="default"/>
      <w:pgSz w:w="11906" w:h="16838"/>
      <w:pgMar w:top="1758" w:right="1418" w:bottom="1758" w:left="141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065683"/>
      <w:docPartObj>
        <w:docPartGallery w:val="AutoText"/>
      </w:docPartObj>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9FC"/>
    <w:rsid w:val="000032AF"/>
    <w:rsid w:val="00017EE9"/>
    <w:rsid w:val="00071158"/>
    <w:rsid w:val="00073FB5"/>
    <w:rsid w:val="000936BE"/>
    <w:rsid w:val="00095906"/>
    <w:rsid w:val="000A267B"/>
    <w:rsid w:val="000B218D"/>
    <w:rsid w:val="000B3734"/>
    <w:rsid w:val="000D6084"/>
    <w:rsid w:val="000F277E"/>
    <w:rsid w:val="000F7D59"/>
    <w:rsid w:val="00111EDF"/>
    <w:rsid w:val="001128AF"/>
    <w:rsid w:val="00127F8B"/>
    <w:rsid w:val="001313BB"/>
    <w:rsid w:val="001451CB"/>
    <w:rsid w:val="00176F55"/>
    <w:rsid w:val="00183354"/>
    <w:rsid w:val="00196423"/>
    <w:rsid w:val="001A073A"/>
    <w:rsid w:val="001A612E"/>
    <w:rsid w:val="001C3049"/>
    <w:rsid w:val="001C3FA5"/>
    <w:rsid w:val="001C5E75"/>
    <w:rsid w:val="001D7724"/>
    <w:rsid w:val="0020417A"/>
    <w:rsid w:val="00273A2E"/>
    <w:rsid w:val="00277DB0"/>
    <w:rsid w:val="00287E09"/>
    <w:rsid w:val="00295A6F"/>
    <w:rsid w:val="00297758"/>
    <w:rsid w:val="002A336D"/>
    <w:rsid w:val="002C5925"/>
    <w:rsid w:val="0031483B"/>
    <w:rsid w:val="00321A44"/>
    <w:rsid w:val="0033327D"/>
    <w:rsid w:val="00354B3E"/>
    <w:rsid w:val="00356CFE"/>
    <w:rsid w:val="00367E70"/>
    <w:rsid w:val="00372393"/>
    <w:rsid w:val="003735AB"/>
    <w:rsid w:val="003A308E"/>
    <w:rsid w:val="003C08A5"/>
    <w:rsid w:val="003C1BA1"/>
    <w:rsid w:val="003C68B9"/>
    <w:rsid w:val="003C6A63"/>
    <w:rsid w:val="003D286D"/>
    <w:rsid w:val="003D3809"/>
    <w:rsid w:val="003E3258"/>
    <w:rsid w:val="003E74DF"/>
    <w:rsid w:val="003F50D3"/>
    <w:rsid w:val="003F52F6"/>
    <w:rsid w:val="00402DB3"/>
    <w:rsid w:val="00411ED1"/>
    <w:rsid w:val="0041391F"/>
    <w:rsid w:val="00455AFA"/>
    <w:rsid w:val="00493FA3"/>
    <w:rsid w:val="00495E1B"/>
    <w:rsid w:val="00496959"/>
    <w:rsid w:val="004A4CEC"/>
    <w:rsid w:val="004B589C"/>
    <w:rsid w:val="00511A45"/>
    <w:rsid w:val="00515F5F"/>
    <w:rsid w:val="00522FF2"/>
    <w:rsid w:val="00523933"/>
    <w:rsid w:val="00543509"/>
    <w:rsid w:val="0054621C"/>
    <w:rsid w:val="00562E98"/>
    <w:rsid w:val="00574D44"/>
    <w:rsid w:val="00587C4E"/>
    <w:rsid w:val="00590E05"/>
    <w:rsid w:val="005A0F53"/>
    <w:rsid w:val="005A10A4"/>
    <w:rsid w:val="005B29ED"/>
    <w:rsid w:val="005D2966"/>
    <w:rsid w:val="005D40BF"/>
    <w:rsid w:val="00606018"/>
    <w:rsid w:val="0063056D"/>
    <w:rsid w:val="00634517"/>
    <w:rsid w:val="0064141C"/>
    <w:rsid w:val="0064371F"/>
    <w:rsid w:val="00643EC3"/>
    <w:rsid w:val="00645F76"/>
    <w:rsid w:val="00674F4C"/>
    <w:rsid w:val="00677964"/>
    <w:rsid w:val="00683031"/>
    <w:rsid w:val="00690300"/>
    <w:rsid w:val="006E43A9"/>
    <w:rsid w:val="006E4F55"/>
    <w:rsid w:val="006F7D7D"/>
    <w:rsid w:val="007004B2"/>
    <w:rsid w:val="007175FC"/>
    <w:rsid w:val="00724C18"/>
    <w:rsid w:val="0073350D"/>
    <w:rsid w:val="00743B1B"/>
    <w:rsid w:val="00761D5E"/>
    <w:rsid w:val="00764DA3"/>
    <w:rsid w:val="00770D79"/>
    <w:rsid w:val="00771F4A"/>
    <w:rsid w:val="007749AD"/>
    <w:rsid w:val="00784A6F"/>
    <w:rsid w:val="00786664"/>
    <w:rsid w:val="007B3082"/>
    <w:rsid w:val="007B4C89"/>
    <w:rsid w:val="007D06FB"/>
    <w:rsid w:val="008068FF"/>
    <w:rsid w:val="00821A80"/>
    <w:rsid w:val="008264EF"/>
    <w:rsid w:val="00827D41"/>
    <w:rsid w:val="008373B3"/>
    <w:rsid w:val="00867DE0"/>
    <w:rsid w:val="00885734"/>
    <w:rsid w:val="008A317E"/>
    <w:rsid w:val="008B06BC"/>
    <w:rsid w:val="00910694"/>
    <w:rsid w:val="00910C97"/>
    <w:rsid w:val="00914F92"/>
    <w:rsid w:val="00915536"/>
    <w:rsid w:val="00920792"/>
    <w:rsid w:val="0094284F"/>
    <w:rsid w:val="00964DFA"/>
    <w:rsid w:val="009702BC"/>
    <w:rsid w:val="00983773"/>
    <w:rsid w:val="0098496C"/>
    <w:rsid w:val="0099026C"/>
    <w:rsid w:val="00993105"/>
    <w:rsid w:val="009D575B"/>
    <w:rsid w:val="009E453E"/>
    <w:rsid w:val="009F0060"/>
    <w:rsid w:val="009F234A"/>
    <w:rsid w:val="00A0609C"/>
    <w:rsid w:val="00A25876"/>
    <w:rsid w:val="00A46D28"/>
    <w:rsid w:val="00A66A97"/>
    <w:rsid w:val="00A84647"/>
    <w:rsid w:val="00A857E2"/>
    <w:rsid w:val="00A85AF5"/>
    <w:rsid w:val="00AB4584"/>
    <w:rsid w:val="00AB4A04"/>
    <w:rsid w:val="00AB5008"/>
    <w:rsid w:val="00AC2B9A"/>
    <w:rsid w:val="00AC4F8A"/>
    <w:rsid w:val="00AD0B32"/>
    <w:rsid w:val="00AE237A"/>
    <w:rsid w:val="00AE3704"/>
    <w:rsid w:val="00AE52A4"/>
    <w:rsid w:val="00AE7023"/>
    <w:rsid w:val="00AF77FF"/>
    <w:rsid w:val="00B02F21"/>
    <w:rsid w:val="00B07FC7"/>
    <w:rsid w:val="00B24C03"/>
    <w:rsid w:val="00B427E6"/>
    <w:rsid w:val="00B43328"/>
    <w:rsid w:val="00B46C98"/>
    <w:rsid w:val="00B65669"/>
    <w:rsid w:val="00B67AB0"/>
    <w:rsid w:val="00B7086B"/>
    <w:rsid w:val="00B747EB"/>
    <w:rsid w:val="00B971C4"/>
    <w:rsid w:val="00BA1565"/>
    <w:rsid w:val="00BA7B9B"/>
    <w:rsid w:val="00BF638D"/>
    <w:rsid w:val="00C05051"/>
    <w:rsid w:val="00C23F08"/>
    <w:rsid w:val="00C32ECC"/>
    <w:rsid w:val="00C40463"/>
    <w:rsid w:val="00C43A3E"/>
    <w:rsid w:val="00C455D5"/>
    <w:rsid w:val="00C53A5A"/>
    <w:rsid w:val="00C67755"/>
    <w:rsid w:val="00CA49FC"/>
    <w:rsid w:val="00CB29F4"/>
    <w:rsid w:val="00CC3A85"/>
    <w:rsid w:val="00CE4BEF"/>
    <w:rsid w:val="00D00B2A"/>
    <w:rsid w:val="00D03394"/>
    <w:rsid w:val="00D0659F"/>
    <w:rsid w:val="00D11213"/>
    <w:rsid w:val="00D264F5"/>
    <w:rsid w:val="00D34DCC"/>
    <w:rsid w:val="00D6167B"/>
    <w:rsid w:val="00D729CB"/>
    <w:rsid w:val="00D9063E"/>
    <w:rsid w:val="00DA3638"/>
    <w:rsid w:val="00DB3087"/>
    <w:rsid w:val="00DC1FC5"/>
    <w:rsid w:val="00DD1820"/>
    <w:rsid w:val="00DD355A"/>
    <w:rsid w:val="00DD5E81"/>
    <w:rsid w:val="00DE6561"/>
    <w:rsid w:val="00E159DC"/>
    <w:rsid w:val="00E2151E"/>
    <w:rsid w:val="00E26ADE"/>
    <w:rsid w:val="00E44B25"/>
    <w:rsid w:val="00E57F23"/>
    <w:rsid w:val="00E642ED"/>
    <w:rsid w:val="00E65E70"/>
    <w:rsid w:val="00E706FE"/>
    <w:rsid w:val="00E87BA9"/>
    <w:rsid w:val="00E91368"/>
    <w:rsid w:val="00EA0FDA"/>
    <w:rsid w:val="00ED6FE9"/>
    <w:rsid w:val="00EF1808"/>
    <w:rsid w:val="00EF2F32"/>
    <w:rsid w:val="00F0345C"/>
    <w:rsid w:val="00F03883"/>
    <w:rsid w:val="00F12015"/>
    <w:rsid w:val="00F227F5"/>
    <w:rsid w:val="00F2386D"/>
    <w:rsid w:val="00F2686C"/>
    <w:rsid w:val="00F35656"/>
    <w:rsid w:val="00F35B9F"/>
    <w:rsid w:val="00F35FCB"/>
    <w:rsid w:val="00F366D6"/>
    <w:rsid w:val="00F447C3"/>
    <w:rsid w:val="00F503B6"/>
    <w:rsid w:val="00F65596"/>
    <w:rsid w:val="00F676A0"/>
    <w:rsid w:val="00F77CA9"/>
    <w:rsid w:val="00FA2649"/>
    <w:rsid w:val="00FA7FB0"/>
    <w:rsid w:val="00FB6FEB"/>
    <w:rsid w:val="00FE6F80"/>
    <w:rsid w:val="21A77F99"/>
    <w:rsid w:val="78F66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tabs>
        <w:tab w:val="center" w:pos="4153"/>
        <w:tab w:val="right" w:pos="8306"/>
      </w:tabs>
      <w:snapToGrid w:val="0"/>
      <w:jc w:val="center"/>
    </w:pPr>
    <w:rPr>
      <w:sz w:val="18"/>
      <w:szCs w:val="18"/>
    </w:rPr>
  </w:style>
  <w:style w:type="paragraph" w:styleId="5">
    <w:name w:val="Subtitle"/>
    <w:basedOn w:val="1"/>
    <w:next w:val="1"/>
    <w:link w:val="13"/>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table" w:styleId="7">
    <w:name w:val="Table Grid"/>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标题 2 字符"/>
    <w:basedOn w:val="8"/>
    <w:link w:val="2"/>
    <w:qFormat/>
    <w:uiPriority w:val="9"/>
    <w:rPr>
      <w:rFonts w:asciiTheme="majorHAnsi" w:hAnsiTheme="majorHAnsi" w:eastAsiaTheme="majorEastAsia" w:cstheme="majorBidi"/>
      <w:b/>
      <w:bCs/>
      <w:sz w:val="32"/>
      <w:szCs w:val="32"/>
    </w:rPr>
  </w:style>
  <w:style w:type="character" w:customStyle="1" w:styleId="10">
    <w:name w:val="页脚 字符"/>
    <w:basedOn w:val="8"/>
    <w:link w:val="3"/>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3">
    <w:name w:val="副标题 字符"/>
    <w:basedOn w:val="8"/>
    <w:link w:val="5"/>
    <w:uiPriority w:val="11"/>
    <w:rPr>
      <w:b/>
      <w:bCs/>
      <w:kern w:val="28"/>
      <w:sz w:val="32"/>
      <w:szCs w:val="32"/>
    </w:rPr>
  </w:style>
  <w:style w:type="character" w:customStyle="1" w:styleId="14">
    <w:name w:val="页眉 字符"/>
    <w:basedOn w:val="8"/>
    <w:link w:val="4"/>
    <w:uiPriority w:val="99"/>
    <w:rPr>
      <w:rFonts w:ascii="Times New Roman" w:hAnsi="Times New Roman" w:eastAsia="宋体" w:cs="Times New Roman"/>
      <w:sz w:val="18"/>
      <w:szCs w:val="18"/>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封面标准英文名称"/>
    <w:basedOn w:val="1"/>
    <w:qFormat/>
    <w:uiPriority w:val="0"/>
    <w:pPr>
      <w:framePr w:w="9639" w:h="6917" w:hRule="exact" w:wrap="around" w:vAnchor="page" w:hAnchor="page" w:xAlign="center" w:y="6408" w:anchorLock="1"/>
      <w:spacing w:before="370" w:line="400" w:lineRule="exact"/>
      <w:jc w:val="center"/>
      <w:textAlignment w:val="center"/>
    </w:pPr>
    <w:rPr>
      <w:rFonts w:eastAsia="黑体"/>
      <w:kern w:val="0"/>
      <w:sz w:val="28"/>
      <w:szCs w:val="28"/>
    </w:rPr>
  </w:style>
  <w:style w:type="paragraph" w:customStyle="1" w:styleId="17">
    <w:name w:val="终结线"/>
    <w:basedOn w:val="1"/>
    <w:uiPriority w:val="0"/>
    <w:pPr>
      <w:framePr w:hSpace="181" w:vSpace="181" w:wrap="around" w:vAnchor="text" w:hAnchor="margin" w:xAlign="center" w:y="285"/>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621</Words>
  <Characters>3540</Characters>
  <Lines>29</Lines>
  <Paragraphs>8</Paragraphs>
  <TotalTime>2</TotalTime>
  <ScaleCrop>false</ScaleCrop>
  <LinksUpToDate>false</LinksUpToDate>
  <CharactersWithSpaces>4153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2024-01-03T08:23:00Z</dcterms:created>
  <dc:creator>蔡亚梅</dc:creator>
  <cp:lastModifiedBy>Amy</cp:lastModifiedBy>
  <cp:lastPrinted>2023-08-01T01:08:00Z</cp:lastPrinted>
  <dcterms:modified xsi:type="dcterms:W3CDTF">2024-01-04T01:15:38Z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